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C6091" w14:textId="3CBE7E59" w:rsidR="00C43547" w:rsidRDefault="00C43547" w:rsidP="00C43547">
      <w:pPr>
        <w:pStyle w:val="Header"/>
        <w:rPr>
          <w:bCs/>
          <w:noProof w:val="0"/>
          <w:sz w:val="24"/>
          <w:lang w:val="en-GB"/>
        </w:rPr>
      </w:pPr>
      <w:r>
        <w:rPr>
          <w:bCs/>
          <w:noProof w:val="0"/>
          <w:sz w:val="24"/>
          <w:lang w:val="en-GB"/>
        </w:rPr>
        <w:t>3GPP TSG RAN WG1#88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B00C28">
        <w:rPr>
          <w:bCs/>
          <w:noProof w:val="0"/>
          <w:sz w:val="24"/>
          <w:lang w:val="en-GB"/>
        </w:rPr>
        <w:t>R1-1703312</w:t>
      </w:r>
    </w:p>
    <w:p w14:paraId="4BF16142" w14:textId="77777777" w:rsidR="00C43547" w:rsidRDefault="00C43547" w:rsidP="00C43547">
      <w:pPr>
        <w:pStyle w:val="Header"/>
        <w:rPr>
          <w:bCs/>
          <w:noProof w:val="0"/>
          <w:sz w:val="24"/>
          <w:lang w:val="en-GB"/>
        </w:rPr>
      </w:pPr>
      <w:r>
        <w:rPr>
          <w:bCs/>
          <w:noProof w:val="0"/>
          <w:sz w:val="24"/>
          <w:lang w:val="en-GB"/>
        </w:rPr>
        <w:t>Athens, Greece, 13th - 17th February, 2017</w:t>
      </w:r>
    </w:p>
    <w:p w14:paraId="56A8114B" w14:textId="77777777" w:rsidR="00CA26CE" w:rsidRPr="0016316A" w:rsidRDefault="00CA26CE" w:rsidP="00CA26CE">
      <w:pPr>
        <w:pStyle w:val="Header"/>
        <w:rPr>
          <w:bCs/>
          <w:noProof w:val="0"/>
          <w:sz w:val="24"/>
          <w:lang w:val="en-GB" w:eastAsia="ja-JP"/>
        </w:rPr>
      </w:pPr>
    </w:p>
    <w:p w14:paraId="08AC4AD5" w14:textId="697B120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43547">
        <w:rPr>
          <w:rFonts w:cs="Arial"/>
          <w:b/>
          <w:bCs/>
          <w:sz w:val="24"/>
        </w:rPr>
        <w:t>8.1.3.1.</w:t>
      </w:r>
      <w:r w:rsidR="00E611AE">
        <w:rPr>
          <w:rFonts w:cs="Arial"/>
          <w:b/>
          <w:bCs/>
          <w:sz w:val="24"/>
        </w:rPr>
        <w:t>3</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35834265"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D162EF">
        <w:rPr>
          <w:rFonts w:ascii="Arial" w:hAnsi="Arial" w:cs="Arial"/>
          <w:b/>
          <w:bCs/>
          <w:sz w:val="24"/>
        </w:rPr>
        <w:t xml:space="preserve">On the </w:t>
      </w:r>
      <w:r w:rsidR="00532D02">
        <w:rPr>
          <w:rFonts w:ascii="Arial" w:hAnsi="Arial" w:cs="Arial"/>
          <w:b/>
          <w:bCs/>
          <w:sz w:val="24"/>
        </w:rPr>
        <w:t>NR PDCCH stucture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37BEAAF4" w14:textId="77777777" w:rsidR="00341E60" w:rsidRDefault="002256D9" w:rsidP="00513839">
      <w:pPr>
        <w:spacing w:after="120"/>
        <w:jc w:val="both"/>
        <w:rPr>
          <w:bCs/>
        </w:rPr>
      </w:pPr>
      <w:r w:rsidRPr="0016316A">
        <w:rPr>
          <w:bCs/>
        </w:rPr>
        <w:t xml:space="preserve">An objective of </w:t>
      </w:r>
      <w:r w:rsidR="00D060FF">
        <w:rPr>
          <w:bCs/>
        </w:rPr>
        <w:t>the 5G study item</w:t>
      </w:r>
      <w:r w:rsidR="002E563B">
        <w:rPr>
          <w:bCs/>
        </w:rPr>
        <w:t xml:space="preserve"> [1]</w:t>
      </w:r>
      <w:r w:rsidR="00D060FF">
        <w:rPr>
          <w:bCs/>
        </w:rPr>
        <w:t xml:space="preserve"> i</w:t>
      </w:r>
      <w:r w:rsidR="00F75330">
        <w:rPr>
          <w:bCs/>
        </w:rPr>
        <w:t>s</w:t>
      </w:r>
      <w:r w:rsidR="00D060FF">
        <w:rPr>
          <w:bCs/>
        </w:rPr>
        <w:t xml:space="preserve"> to identify and develop technology components needed for new radio (NR) systems being able to use any spectrum band ranging at least up to 100 GHz. </w:t>
      </w:r>
      <w:r w:rsidR="002E563B">
        <w:rPr>
          <w:bCs/>
        </w:rPr>
        <w:t xml:space="preserve">The goal is to achieve a single technical framework addressing all usage scenarios, requirements and deployment scenarios defined in TR38.913 [2]. </w:t>
      </w:r>
    </w:p>
    <w:p w14:paraId="28B11C4C" w14:textId="772E51A7" w:rsidR="00CC300C" w:rsidRDefault="00BE4EC9" w:rsidP="002E758C">
      <w:pPr>
        <w:spacing w:after="120"/>
        <w:jc w:val="both"/>
        <w:rPr>
          <w:rFonts w:eastAsia="Malgun Gothic"/>
        </w:rPr>
      </w:pPr>
      <w:r>
        <w:rPr>
          <w:bCs/>
        </w:rPr>
        <w:t xml:space="preserve">This contribution relates to </w:t>
      </w:r>
      <w:r w:rsidR="00D162EF">
        <w:rPr>
          <w:bCs/>
        </w:rPr>
        <w:t xml:space="preserve">PDCCH </w:t>
      </w:r>
      <w:r w:rsidR="00532D02">
        <w:rPr>
          <w:bCs/>
        </w:rPr>
        <w:t>stucture</w:t>
      </w:r>
      <w:r w:rsidR="00D162EF">
        <w:rPr>
          <w:bCs/>
        </w:rPr>
        <w:t xml:space="preserve"> for</w:t>
      </w:r>
      <w:r w:rsidR="000B0C45">
        <w:rPr>
          <w:bCs/>
        </w:rPr>
        <w:t xml:space="preserve"> NR</w:t>
      </w:r>
      <w:r w:rsidR="00CC300C">
        <w:rPr>
          <w:bCs/>
        </w:rPr>
        <w:t>.</w:t>
      </w:r>
      <w:r w:rsidR="004A34C9">
        <w:rPr>
          <w:bCs/>
        </w:rPr>
        <w:t xml:space="preserve"> </w:t>
      </w:r>
      <w:r w:rsidR="00CA192A">
        <w:rPr>
          <w:bCs/>
        </w:rPr>
        <w:t xml:space="preserve">The following </w:t>
      </w:r>
      <w:r w:rsidR="00CC300C">
        <w:rPr>
          <w:rFonts w:eastAsia="Malgun Gothic"/>
        </w:rPr>
        <w:t>agreements</w:t>
      </w:r>
      <w:r w:rsidR="000B0C45">
        <w:rPr>
          <w:rFonts w:eastAsia="Malgun Gothic"/>
        </w:rPr>
        <w:t xml:space="preserve"> related </w:t>
      </w:r>
      <w:r w:rsidR="00DC3FF5">
        <w:rPr>
          <w:rFonts w:eastAsia="Malgun Gothic"/>
        </w:rPr>
        <w:t xml:space="preserve">to </w:t>
      </w:r>
      <w:r w:rsidR="00CA192A">
        <w:rPr>
          <w:rFonts w:eastAsia="Malgun Gothic"/>
        </w:rPr>
        <w:t>DL control channel structures were made in RAN1 #</w:t>
      </w:r>
      <w:r w:rsidR="00D162EF">
        <w:rPr>
          <w:rFonts w:eastAsia="Malgun Gothic"/>
        </w:rPr>
        <w:t>87</w:t>
      </w:r>
      <w:r w:rsidR="00C43547">
        <w:rPr>
          <w:rFonts w:eastAsia="Malgun Gothic"/>
        </w:rPr>
        <w:t xml:space="preserve"> and RAN</w:t>
      </w:r>
      <w:r w:rsidR="005A6120">
        <w:rPr>
          <w:rFonts w:eastAsia="Malgun Gothic"/>
        </w:rPr>
        <w:t>1 NR ad hoc</w:t>
      </w:r>
      <w:r w:rsidR="00CA192A">
        <w:rPr>
          <w:rFonts w:eastAsia="Malgun Gothic"/>
        </w:rPr>
        <w:t xml:space="preserve"> </w:t>
      </w:r>
      <w:r w:rsidR="00342AD2">
        <w:rPr>
          <w:bCs/>
        </w:rPr>
        <w:t>[3]</w:t>
      </w:r>
      <w:r w:rsidR="00C43547">
        <w:rPr>
          <w:bCs/>
        </w:rPr>
        <w:t>[4]</w:t>
      </w:r>
      <w:r w:rsidR="00CC300C">
        <w:rPr>
          <w:rFonts w:eastAsia="Malgun Gothic"/>
        </w:rPr>
        <w:t>:</w:t>
      </w:r>
    </w:p>
    <w:p w14:paraId="04A61A7C" w14:textId="544DE334" w:rsidR="00D162EF" w:rsidRPr="009502A9" w:rsidRDefault="00D162EF" w:rsidP="00D162EF">
      <w:pPr>
        <w:spacing w:after="0"/>
        <w:ind w:firstLine="284"/>
        <w:rPr>
          <w:rFonts w:eastAsia="MS Mincho"/>
          <w:b/>
          <w:sz w:val="17"/>
          <w:szCs w:val="17"/>
          <w:u w:val="single"/>
          <w:lang w:val="en-US" w:eastAsia="ja-JP"/>
        </w:rPr>
      </w:pPr>
      <w:r w:rsidRPr="009502A9">
        <w:rPr>
          <w:rFonts w:eastAsia="MS Mincho"/>
          <w:b/>
          <w:sz w:val="17"/>
          <w:szCs w:val="17"/>
          <w:highlight w:val="green"/>
          <w:u w:val="single"/>
          <w:lang w:val="en-US" w:eastAsia="ja-JP"/>
        </w:rPr>
        <w:t>Agreements:</w:t>
      </w:r>
      <w:r w:rsidR="00C43547" w:rsidRPr="009502A9">
        <w:rPr>
          <w:rFonts w:eastAsia="MS Mincho"/>
          <w:sz w:val="17"/>
          <w:szCs w:val="17"/>
          <w:lang w:val="en-US" w:eastAsia="ja-JP"/>
        </w:rPr>
        <w:t xml:space="preserve"> [3]</w:t>
      </w:r>
    </w:p>
    <w:p w14:paraId="1C6B264F" w14:textId="77777777" w:rsidR="00D162EF" w:rsidRPr="009502A9" w:rsidRDefault="00D162EF" w:rsidP="009502A9">
      <w:pPr>
        <w:pStyle w:val="ListParagraph"/>
        <w:numPr>
          <w:ilvl w:val="0"/>
          <w:numId w:val="30"/>
        </w:numPr>
        <w:ind w:left="851" w:hanging="425"/>
        <w:rPr>
          <w:rFonts w:eastAsia="MS Mincho"/>
          <w:i/>
          <w:sz w:val="17"/>
          <w:szCs w:val="17"/>
          <w:lang w:val="en-US" w:eastAsia="ja-JP"/>
        </w:rPr>
      </w:pPr>
      <w:r w:rsidRPr="009502A9">
        <w:rPr>
          <w:rFonts w:eastAsia="MS Mincho"/>
          <w:i/>
          <w:sz w:val="17"/>
          <w:szCs w:val="17"/>
          <w:lang w:val="en-US" w:eastAsia="ja-JP"/>
        </w:rPr>
        <w:t>The time/freq. resource containing at least one search space is obtained from MIB/system information/implicitly derived from initial access information</w:t>
      </w:r>
    </w:p>
    <w:p w14:paraId="55A970AD" w14:textId="77777777" w:rsidR="00D162EF" w:rsidRPr="009502A9" w:rsidRDefault="00D162EF" w:rsidP="009502A9">
      <w:pPr>
        <w:pStyle w:val="ListParagraph"/>
        <w:numPr>
          <w:ilvl w:val="0"/>
          <w:numId w:val="30"/>
        </w:numPr>
        <w:ind w:left="851" w:hanging="425"/>
        <w:rPr>
          <w:rFonts w:eastAsia="MS Mincho"/>
          <w:i/>
          <w:sz w:val="17"/>
          <w:szCs w:val="17"/>
          <w:lang w:val="en-US" w:eastAsia="ja-JP"/>
        </w:rPr>
      </w:pPr>
      <w:r w:rsidRPr="009502A9">
        <w:rPr>
          <w:rFonts w:eastAsia="MS Mincho"/>
          <w:i/>
          <w:sz w:val="17"/>
          <w:szCs w:val="17"/>
          <w:lang w:val="en-US" w:eastAsia="ja-JP"/>
        </w:rPr>
        <w:t>Time/freq. resource containing additional search spaces, can be configured using dedicated RRC signaling</w:t>
      </w:r>
    </w:p>
    <w:p w14:paraId="60547DBA" w14:textId="77777777" w:rsidR="00D162EF" w:rsidRPr="009502A9" w:rsidRDefault="00D162EF" w:rsidP="009502A9">
      <w:pPr>
        <w:pStyle w:val="ListParagraph"/>
        <w:numPr>
          <w:ilvl w:val="0"/>
          <w:numId w:val="30"/>
        </w:numPr>
        <w:ind w:left="851" w:hanging="425"/>
        <w:rPr>
          <w:rFonts w:eastAsia="MS Mincho"/>
          <w:i/>
          <w:sz w:val="17"/>
          <w:szCs w:val="17"/>
          <w:lang w:val="en-US" w:eastAsia="ja-JP"/>
        </w:rPr>
      </w:pPr>
      <w:r w:rsidRPr="009502A9">
        <w:rPr>
          <w:rFonts w:eastAsia="MS Mincho"/>
          <w:i/>
          <w:sz w:val="17"/>
          <w:szCs w:val="17"/>
          <w:lang w:val="en-US" w:eastAsia="ja-JP"/>
        </w:rPr>
        <w:t>Other solution is not precluded</w:t>
      </w:r>
    </w:p>
    <w:p w14:paraId="5CBAB4AB" w14:textId="77777777" w:rsidR="00D162EF" w:rsidRDefault="00D162EF" w:rsidP="00D162EF">
      <w:pPr>
        <w:overflowPunct/>
        <w:autoSpaceDE/>
        <w:autoSpaceDN/>
        <w:adjustRightInd/>
        <w:spacing w:after="0"/>
        <w:textAlignment w:val="auto"/>
        <w:rPr>
          <w:rFonts w:eastAsia="MS Mincho"/>
          <w:i/>
          <w:sz w:val="12"/>
          <w:szCs w:val="17"/>
          <w:lang w:val="en-US" w:eastAsia="ja-JP"/>
        </w:rPr>
      </w:pPr>
    </w:p>
    <w:p w14:paraId="2CDAC451" w14:textId="77777777" w:rsidR="005B6EA6" w:rsidRPr="009502A9" w:rsidRDefault="005B6EA6" w:rsidP="009502A9">
      <w:pPr>
        <w:pStyle w:val="ListParagraph"/>
        <w:numPr>
          <w:ilvl w:val="0"/>
          <w:numId w:val="29"/>
        </w:numPr>
        <w:ind w:right="-284"/>
        <w:rPr>
          <w:rFonts w:eastAsia="MS Mincho"/>
          <w:i/>
          <w:sz w:val="17"/>
          <w:szCs w:val="17"/>
          <w:lang w:val="en-US" w:eastAsia="ja-JP"/>
        </w:rPr>
      </w:pPr>
      <w:r w:rsidRPr="009502A9">
        <w:rPr>
          <w:rFonts w:eastAsia="MS Mincho"/>
          <w:i/>
          <w:sz w:val="17"/>
          <w:szCs w:val="17"/>
          <w:lang w:val="en-US" w:eastAsia="ja-JP"/>
        </w:rPr>
        <w:t>The reference signals in at least one search space do not depend on the RNTI or UE-identity</w:t>
      </w:r>
    </w:p>
    <w:p w14:paraId="5FAA213B" w14:textId="77777777" w:rsidR="005B6EA6" w:rsidRPr="009502A9" w:rsidRDefault="005B6EA6" w:rsidP="009502A9">
      <w:pPr>
        <w:pStyle w:val="ListParagraph"/>
        <w:numPr>
          <w:ilvl w:val="1"/>
          <w:numId w:val="29"/>
        </w:numPr>
        <w:ind w:left="1701" w:right="-284" w:hanging="425"/>
        <w:rPr>
          <w:rFonts w:eastAsia="MS Mincho"/>
          <w:i/>
          <w:sz w:val="17"/>
          <w:szCs w:val="17"/>
          <w:lang w:val="en-US" w:eastAsia="ja-JP"/>
        </w:rPr>
      </w:pPr>
      <w:r w:rsidRPr="009502A9">
        <w:rPr>
          <w:rFonts w:eastAsia="MS Mincho"/>
          <w:i/>
          <w:sz w:val="17"/>
          <w:szCs w:val="17"/>
          <w:lang w:val="en-US" w:eastAsia="ja-JP"/>
        </w:rPr>
        <w:t>FFS: The reference signals in at least an additional search space do not depend on the RNTI or UE-identity</w:t>
      </w:r>
    </w:p>
    <w:p w14:paraId="1CC9AB0E" w14:textId="77777777" w:rsidR="005B6EA6" w:rsidRPr="009502A9" w:rsidRDefault="005B6EA6" w:rsidP="005B1FF6">
      <w:pPr>
        <w:pStyle w:val="ListParagraph"/>
        <w:numPr>
          <w:ilvl w:val="0"/>
          <w:numId w:val="29"/>
        </w:numPr>
        <w:rPr>
          <w:rFonts w:eastAsia="MS Mincho"/>
          <w:i/>
          <w:sz w:val="17"/>
          <w:szCs w:val="17"/>
          <w:lang w:val="en-US" w:eastAsia="ja-JP"/>
        </w:rPr>
      </w:pPr>
      <w:r w:rsidRPr="009502A9">
        <w:rPr>
          <w:rFonts w:eastAsia="MS Mincho"/>
          <w:i/>
          <w:sz w:val="17"/>
          <w:szCs w:val="17"/>
          <w:lang w:val="en-US" w:eastAsia="ja-JP"/>
        </w:rPr>
        <w:t>FFS: For one UE, there is the case the channel estimate obtained for one RE is reusable across multiple blind decodings involving that RE</w:t>
      </w:r>
    </w:p>
    <w:p w14:paraId="7FB3EAA9" w14:textId="77777777" w:rsidR="005B6EA6" w:rsidRPr="009502A9" w:rsidRDefault="005B6EA6" w:rsidP="009502A9">
      <w:pPr>
        <w:pStyle w:val="ListParagraph"/>
        <w:numPr>
          <w:ilvl w:val="0"/>
          <w:numId w:val="29"/>
        </w:numPr>
        <w:ind w:right="-284"/>
        <w:rPr>
          <w:rFonts w:eastAsia="MS Mincho"/>
          <w:i/>
          <w:sz w:val="17"/>
          <w:szCs w:val="17"/>
          <w:lang w:val="en-US" w:eastAsia="ja-JP"/>
        </w:rPr>
      </w:pPr>
      <w:r w:rsidRPr="009502A9">
        <w:rPr>
          <w:rFonts w:eastAsia="MS Mincho"/>
          <w:i/>
          <w:sz w:val="17"/>
          <w:szCs w:val="17"/>
          <w:lang w:val="en-US" w:eastAsia="ja-JP"/>
        </w:rPr>
        <w:t>In an additional search space, reference signals can be configured, FFS: explicitly or implicitly</w:t>
      </w:r>
    </w:p>
    <w:p w14:paraId="01B1FA83" w14:textId="1D35FADD" w:rsidR="00D162EF" w:rsidRPr="009502A9" w:rsidRDefault="00D162EF" w:rsidP="009502A9">
      <w:pPr>
        <w:overflowPunct/>
        <w:autoSpaceDE/>
        <w:autoSpaceDN/>
        <w:adjustRightInd/>
        <w:spacing w:after="0"/>
        <w:ind w:hanging="218"/>
        <w:textAlignment w:val="auto"/>
        <w:rPr>
          <w:rFonts w:eastAsia="MS Mincho"/>
          <w:i/>
          <w:sz w:val="10"/>
          <w:szCs w:val="17"/>
          <w:lang w:val="en-US" w:eastAsia="ja-JP"/>
        </w:rPr>
      </w:pPr>
    </w:p>
    <w:p w14:paraId="26E479B2" w14:textId="2D0FC862" w:rsidR="00D162EF" w:rsidRPr="009502A9" w:rsidRDefault="00D162EF" w:rsidP="009502A9">
      <w:pPr>
        <w:numPr>
          <w:ilvl w:val="0"/>
          <w:numId w:val="22"/>
        </w:numPr>
        <w:overflowPunct/>
        <w:autoSpaceDE/>
        <w:autoSpaceDN/>
        <w:adjustRightInd/>
        <w:spacing w:after="0"/>
        <w:ind w:hanging="294"/>
        <w:textAlignment w:val="auto"/>
        <w:rPr>
          <w:rFonts w:eastAsia="MS Mincho"/>
          <w:i/>
          <w:sz w:val="17"/>
          <w:szCs w:val="17"/>
          <w:lang w:val="en-US" w:eastAsia="ja-JP"/>
        </w:rPr>
      </w:pPr>
      <w:r w:rsidRPr="009502A9">
        <w:rPr>
          <w:rFonts w:eastAsia="MS Mincho"/>
          <w:i/>
          <w:sz w:val="17"/>
          <w:szCs w:val="17"/>
          <w:lang w:val="en-US" w:eastAsia="ja-JP"/>
        </w:rPr>
        <w:t>when the control resource set spans multi</w:t>
      </w:r>
      <w:r w:rsidR="00D20CD6" w:rsidRPr="009502A9">
        <w:rPr>
          <w:rFonts w:eastAsia="MS Mincho"/>
          <w:i/>
          <w:sz w:val="17"/>
          <w:szCs w:val="17"/>
          <w:lang w:val="en-US" w:eastAsia="ja-JP"/>
        </w:rPr>
        <w:t xml:space="preserve">ple OFDM symbols, NR support a </w:t>
      </w:r>
      <w:r w:rsidRPr="009502A9">
        <w:rPr>
          <w:rFonts w:eastAsia="MS Mincho"/>
          <w:i/>
          <w:sz w:val="17"/>
          <w:szCs w:val="17"/>
          <w:lang w:val="en-US" w:eastAsia="ja-JP"/>
        </w:rPr>
        <w:t>control channel candidate to be mapped to multiple OFDM symbols or to a single OFDM symbol</w:t>
      </w:r>
    </w:p>
    <w:p w14:paraId="261D6853" w14:textId="77777777" w:rsidR="00D162EF" w:rsidRPr="009502A9" w:rsidRDefault="00D162EF" w:rsidP="009502A9">
      <w:pPr>
        <w:numPr>
          <w:ilvl w:val="1"/>
          <w:numId w:val="22"/>
        </w:numPr>
        <w:tabs>
          <w:tab w:val="clear" w:pos="1440"/>
          <w:tab w:val="num" w:pos="1701"/>
        </w:tabs>
        <w:overflowPunct/>
        <w:autoSpaceDE/>
        <w:autoSpaceDN/>
        <w:adjustRightInd/>
        <w:spacing w:after="0"/>
        <w:ind w:left="1701" w:hanging="425"/>
        <w:textAlignment w:val="auto"/>
        <w:rPr>
          <w:rFonts w:eastAsia="MS Mincho"/>
          <w:i/>
          <w:sz w:val="17"/>
          <w:szCs w:val="17"/>
          <w:lang w:val="en-US" w:eastAsia="ja-JP"/>
        </w:rPr>
      </w:pPr>
      <w:r w:rsidRPr="009502A9">
        <w:rPr>
          <w:rFonts w:eastAsia="MS Mincho"/>
          <w:i/>
          <w:sz w:val="17"/>
          <w:szCs w:val="17"/>
          <w:lang w:val="en-US" w:eastAsia="ja-JP"/>
        </w:rPr>
        <w:t>The gNB can inform UE which control channel candidates are mapped to each subset of OFDM symbols in the control resource set. FFS: details of the signaling (implicit or explicit)</w:t>
      </w:r>
    </w:p>
    <w:p w14:paraId="312E6CDB" w14:textId="77777777" w:rsidR="00C43547" w:rsidRPr="00710393" w:rsidRDefault="00C43547" w:rsidP="00C43547">
      <w:pPr>
        <w:overflowPunct/>
        <w:autoSpaceDE/>
        <w:autoSpaceDN/>
        <w:adjustRightInd/>
        <w:spacing w:after="0"/>
        <w:ind w:left="1440"/>
        <w:textAlignment w:val="auto"/>
        <w:rPr>
          <w:rFonts w:eastAsia="MS Mincho"/>
          <w:i/>
          <w:sz w:val="8"/>
          <w:szCs w:val="17"/>
          <w:lang w:val="en-US" w:eastAsia="ja-JP"/>
        </w:rPr>
      </w:pPr>
    </w:p>
    <w:p w14:paraId="7DCEC1D4" w14:textId="5A3E8BEF" w:rsidR="00C43547" w:rsidRPr="009502A9" w:rsidRDefault="00C43547" w:rsidP="00C43547">
      <w:pPr>
        <w:spacing w:after="0"/>
        <w:ind w:firstLine="284"/>
        <w:rPr>
          <w:rFonts w:eastAsia="MS Mincho"/>
          <w:b/>
          <w:sz w:val="17"/>
          <w:szCs w:val="17"/>
          <w:lang w:val="en-US" w:eastAsia="ja-JP"/>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[4]</w:t>
      </w:r>
    </w:p>
    <w:p w14:paraId="204B3A3D"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NR supports at least following functionalities</w:t>
      </w:r>
    </w:p>
    <w:p w14:paraId="79EE11F0"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At least for eMBB, in one OFDM symbol, multiple CCEs cannot be transmitted on the same PRB except for spatial multiplexing to different UEs (MU-MIMO)</w:t>
      </w:r>
    </w:p>
    <w:p w14:paraId="3D331601"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 PDCCH candidate consists of a set of CCEs. A CCE consists of a set of REGs. A REG is one RB during one OFDM symbol.</w:t>
      </w:r>
    </w:p>
    <w:p w14:paraId="6BDFFAE7"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For one UE, the channel estimate obtained for one RE should be reusable across multiple blind decodings involving that RE in at least the same control resource set and type of search space (common or UE-specific).</w:t>
      </w:r>
    </w:p>
    <w:p w14:paraId="0AA96842" w14:textId="77777777" w:rsidR="007D432A" w:rsidRPr="009502A9" w:rsidRDefault="007D432A" w:rsidP="007D432A">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At least for DL data scheduled for a slot, the DL data DMRS location in time is not dynamically varying relative to the start of slot</w:t>
      </w:r>
    </w:p>
    <w:p w14:paraId="2ACC7B04" w14:textId="77777777" w:rsidR="007D432A" w:rsidRPr="009502A9" w:rsidRDefault="007D432A" w:rsidP="009502A9">
      <w:pPr>
        <w:pStyle w:val="ListParagraph"/>
        <w:ind w:left="1648"/>
        <w:rPr>
          <w:rFonts w:eastAsia="MS Mincho"/>
          <w:i/>
          <w:sz w:val="8"/>
          <w:szCs w:val="17"/>
          <w:lang w:val="en-US" w:eastAsia="ja-JP"/>
        </w:rPr>
      </w:pPr>
    </w:p>
    <w:p w14:paraId="6E7B67DA"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Each candidate of NR DL Control channel search space is composed by K NR-CCE(s)</w:t>
      </w:r>
    </w:p>
    <w:p w14:paraId="0F4C0133"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 NR-CCE is defined in fixed number of REGs</w:t>
      </w:r>
    </w:p>
    <w:p w14:paraId="71D6ABB6"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Different REGs can be in the same or different symbols depending on REG to NR-CCE mapping</w:t>
      </w:r>
    </w:p>
    <w:p w14:paraId="53864912"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NR-CCE includes the REs assumed for UE-specific DMRS to demodulate that NR-CCE</w:t>
      </w:r>
    </w:p>
    <w:p w14:paraId="61AE1D5D"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REG to NR-CCE mapping within a control resource set is frequency first, time first or gNB configurable</w:t>
      </w:r>
    </w:p>
    <w:p w14:paraId="6FA97337"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FFS: Down selection of REG to NR-CCE mapping</w:t>
      </w:r>
    </w:p>
    <w:p w14:paraId="52B5FD8A"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E.g. K can be 1, 2, 4, or 8, etc</w:t>
      </w:r>
    </w:p>
    <w:p w14:paraId="0C30E038"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A control resource set is defined as a set of REGs under a given numerology</w:t>
      </w:r>
    </w:p>
    <w:p w14:paraId="4A1672E0" w14:textId="77777777" w:rsidR="007D432A" w:rsidRPr="009502A9" w:rsidRDefault="007D432A" w:rsidP="0067661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Control search space includes at least the following properties</w:t>
      </w:r>
    </w:p>
    <w:p w14:paraId="5A41CD7F"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Aggregation level(s)</w:t>
      </w:r>
    </w:p>
    <w:p w14:paraId="29755DF9"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Number of decoding candidates for each aggregation level</w:t>
      </w:r>
    </w:p>
    <w:p w14:paraId="16A2F552"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The set of CCEs for each decoding candidate</w:t>
      </w:r>
    </w:p>
    <w:p w14:paraId="04AA18CB"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FFS: if any of the following properties belong to control resource set or control search space</w:t>
      </w:r>
    </w:p>
    <w:p w14:paraId="0C85DA99"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Transmission/diversity scheme</w:t>
      </w:r>
    </w:p>
    <w:p w14:paraId="061FD190"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CCE to REG mapping</w:t>
      </w:r>
    </w:p>
    <w:p w14:paraId="0DB73AB6"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RS structure</w:t>
      </w:r>
    </w:p>
    <w:p w14:paraId="495410D6" w14:textId="77777777" w:rsidR="007D432A" w:rsidRPr="009502A9" w:rsidRDefault="007D432A" w:rsidP="009502A9">
      <w:pPr>
        <w:pStyle w:val="ListParagraph"/>
        <w:numPr>
          <w:ilvl w:val="1"/>
          <w:numId w:val="27"/>
        </w:numPr>
        <w:rPr>
          <w:rFonts w:eastAsia="MS Mincho"/>
          <w:i/>
          <w:sz w:val="17"/>
          <w:szCs w:val="17"/>
          <w:lang w:val="en-US" w:eastAsia="ja-JP"/>
        </w:rPr>
      </w:pPr>
      <w:r w:rsidRPr="009502A9">
        <w:rPr>
          <w:rFonts w:eastAsia="MS Mincho"/>
          <w:i/>
          <w:sz w:val="17"/>
          <w:szCs w:val="17"/>
          <w:lang w:val="en-US" w:eastAsia="ja-JP"/>
        </w:rPr>
        <w:t>PRB bundling size</w:t>
      </w:r>
    </w:p>
    <w:p w14:paraId="3916CED7" w14:textId="77777777" w:rsidR="007D432A" w:rsidRPr="009502A9"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FFS: if the control resource sets can overlap or not</w:t>
      </w:r>
    </w:p>
    <w:p w14:paraId="424A5BC0" w14:textId="77777777" w:rsidR="007D432A" w:rsidRDefault="007D432A" w:rsidP="007D432A">
      <w:pPr>
        <w:pStyle w:val="ListParagraph"/>
        <w:numPr>
          <w:ilvl w:val="0"/>
          <w:numId w:val="27"/>
        </w:numPr>
        <w:rPr>
          <w:rFonts w:eastAsia="MS Mincho"/>
          <w:i/>
          <w:sz w:val="17"/>
          <w:szCs w:val="17"/>
          <w:lang w:val="en-US" w:eastAsia="ja-JP"/>
        </w:rPr>
      </w:pPr>
      <w:r w:rsidRPr="009502A9">
        <w:rPr>
          <w:rFonts w:eastAsia="MS Mincho"/>
          <w:i/>
          <w:sz w:val="17"/>
          <w:szCs w:val="17"/>
          <w:lang w:val="en-US" w:eastAsia="ja-JP"/>
        </w:rPr>
        <w:t>FFS: whether the mapping between control resource set and control search space is one-to-one or one-to-many</w:t>
      </w:r>
    </w:p>
    <w:p w14:paraId="3B09D391" w14:textId="39AEB9FB" w:rsidR="007D432A" w:rsidRPr="00710393" w:rsidRDefault="007D432A" w:rsidP="009502A9">
      <w:pPr>
        <w:pStyle w:val="ListParagraph"/>
        <w:ind w:left="928"/>
        <w:rPr>
          <w:rFonts w:eastAsia="MS Mincho"/>
          <w:i/>
          <w:sz w:val="12"/>
          <w:szCs w:val="17"/>
          <w:lang w:val="en-US" w:eastAsia="ja-JP"/>
        </w:rPr>
      </w:pPr>
      <w:r w:rsidRPr="009502A9">
        <w:rPr>
          <w:rFonts w:eastAsia="MS Mincho"/>
          <w:i/>
          <w:sz w:val="17"/>
          <w:szCs w:val="17"/>
          <w:lang w:val="en-US" w:eastAsia="ja-JP"/>
        </w:rPr>
        <w:t xml:space="preserve"> </w:t>
      </w:r>
    </w:p>
    <w:p w14:paraId="42DFAB8D" w14:textId="2C3CB3F2" w:rsidR="00D162EF" w:rsidRDefault="00D162EF" w:rsidP="00D162EF">
      <w:pPr>
        <w:spacing w:after="120"/>
        <w:jc w:val="both"/>
      </w:pPr>
      <w:r>
        <w:rPr>
          <w:bCs/>
        </w:rPr>
        <w:t xml:space="preserve">We provide </w:t>
      </w:r>
      <w:r w:rsidR="00FF035A">
        <w:rPr>
          <w:bCs/>
        </w:rPr>
        <w:t xml:space="preserve">more </w:t>
      </w:r>
      <w:r>
        <w:rPr>
          <w:bCs/>
        </w:rPr>
        <w:t xml:space="preserve">details related to </w:t>
      </w:r>
      <w:r>
        <w:rPr>
          <w:rFonts w:eastAsia="MS Mincho"/>
          <w:lang w:val="en-US" w:eastAsia="ja-JP"/>
        </w:rPr>
        <w:t xml:space="preserve">PDCCH DMRS design </w:t>
      </w:r>
      <w:r w:rsidR="007A6881">
        <w:rPr>
          <w:rFonts w:eastAsia="MS Mincho"/>
          <w:lang w:val="en-US" w:eastAsia="ja-JP"/>
        </w:rPr>
        <w:t xml:space="preserve">and PDCCH search space design </w:t>
      </w:r>
      <w:r>
        <w:rPr>
          <w:rFonts w:eastAsia="MS Mincho"/>
          <w:lang w:val="en-US" w:eastAsia="ja-JP"/>
        </w:rPr>
        <w:t>in</w:t>
      </w:r>
      <w:r w:rsidR="0086042D">
        <w:rPr>
          <w:rFonts w:eastAsia="MS Mincho"/>
          <w:lang w:val="en-US" w:eastAsia="ja-JP"/>
        </w:rPr>
        <w:t xml:space="preserve"> companion contribution</w:t>
      </w:r>
      <w:r w:rsidR="007A6881">
        <w:rPr>
          <w:rFonts w:eastAsia="MS Mincho"/>
          <w:lang w:val="en-US" w:eastAsia="ja-JP"/>
        </w:rPr>
        <w:t>s</w:t>
      </w:r>
      <w:r>
        <w:rPr>
          <w:rFonts w:eastAsia="MS Mincho"/>
          <w:lang w:val="en-US" w:eastAsia="ja-JP"/>
        </w:rPr>
        <w:t xml:space="preserve"> [</w:t>
      </w:r>
      <w:r w:rsidR="007A6881">
        <w:rPr>
          <w:rFonts w:eastAsia="MS Mincho"/>
          <w:lang w:val="en-US" w:eastAsia="ja-JP"/>
        </w:rPr>
        <w:t>5</w:t>
      </w:r>
      <w:r w:rsidR="001D4E22">
        <w:rPr>
          <w:rFonts w:eastAsia="MS Mincho"/>
          <w:lang w:val="en-US" w:eastAsia="ja-JP"/>
        </w:rPr>
        <w:t>]</w:t>
      </w:r>
      <w:r w:rsidR="007A6881">
        <w:rPr>
          <w:rFonts w:eastAsia="MS Mincho"/>
          <w:lang w:val="en-US" w:eastAsia="ja-JP"/>
        </w:rPr>
        <w:t xml:space="preserve"> and [6], respectively</w:t>
      </w:r>
      <w:r>
        <w:rPr>
          <w:rFonts w:eastAsia="MS Mincho"/>
          <w:lang w:val="en-US" w:eastAsia="ja-JP"/>
        </w:rPr>
        <w:t>.</w:t>
      </w:r>
    </w:p>
    <w:p w14:paraId="726B03A8" w14:textId="5C25CA8B" w:rsidR="00C7542D" w:rsidRDefault="00C7542D" w:rsidP="00C7542D">
      <w:pPr>
        <w:pStyle w:val="Heading1"/>
      </w:pPr>
      <w:r>
        <w:rPr>
          <w:color w:val="000000"/>
        </w:rPr>
        <w:lastRenderedPageBreak/>
        <w:t>2</w:t>
      </w:r>
      <w:bookmarkStart w:id="0" w:name="_GoBack"/>
      <w:bookmarkEnd w:id="0"/>
      <w:r w:rsidRPr="00A51522">
        <w:rPr>
          <w:color w:val="000000"/>
        </w:rPr>
        <w:tab/>
      </w:r>
      <w:r w:rsidR="00E611AE">
        <w:t>Discussion</w:t>
      </w:r>
    </w:p>
    <w:p w14:paraId="035A92A1" w14:textId="5A7E8711" w:rsidR="00832918" w:rsidRDefault="003C3261" w:rsidP="00C7542D">
      <w:pPr>
        <w:spacing w:after="0"/>
        <w:jc w:val="both"/>
        <w:rPr>
          <w:rFonts w:eastAsia="MS Mincho"/>
          <w:lang w:val="en-US" w:eastAsia="ja-JP"/>
        </w:rPr>
      </w:pPr>
      <w:r>
        <w:rPr>
          <w:rFonts w:eastAsia="MS Mincho"/>
          <w:lang w:val="en-US" w:eastAsia="ja-JP"/>
        </w:rPr>
        <w:t>NR-PDCCH needs to support both</w:t>
      </w:r>
      <w:r w:rsidR="00832918">
        <w:rPr>
          <w:rFonts w:eastAsia="MS Mincho"/>
          <w:lang w:val="en-US" w:eastAsia="ja-JP"/>
        </w:rPr>
        <w:t xml:space="preserve"> frequency diversity and frequency </w:t>
      </w:r>
      <w:r w:rsidR="007A6881">
        <w:rPr>
          <w:rFonts w:eastAsia="MS Mincho"/>
          <w:lang w:val="en-US" w:eastAsia="ja-JP"/>
        </w:rPr>
        <w:t xml:space="preserve">selective </w:t>
      </w:r>
      <w:r w:rsidR="00832918">
        <w:rPr>
          <w:rFonts w:eastAsia="MS Mincho"/>
          <w:lang w:val="en-US" w:eastAsia="ja-JP"/>
        </w:rPr>
        <w:t>transmission</w:t>
      </w:r>
      <w:r w:rsidR="00CC43B0">
        <w:rPr>
          <w:rFonts w:eastAsia="MS Mincho"/>
          <w:lang w:val="en-US" w:eastAsia="ja-JP"/>
        </w:rPr>
        <w:t xml:space="preserve"> for DL control channel</w:t>
      </w:r>
      <w:r w:rsidR="00832918">
        <w:rPr>
          <w:rFonts w:eastAsia="MS Mincho"/>
          <w:lang w:val="en-US" w:eastAsia="ja-JP"/>
        </w:rPr>
        <w:t>. Figure 1a) shows the principle of distributed REG</w:t>
      </w:r>
      <w:r w:rsidR="00CC43B0">
        <w:rPr>
          <w:rFonts w:eastAsia="MS Mincho"/>
          <w:lang w:val="en-US" w:eastAsia="ja-JP"/>
        </w:rPr>
        <w:t xml:space="preserve"> to NR-CCE</w:t>
      </w:r>
      <w:r w:rsidR="00832918">
        <w:rPr>
          <w:rFonts w:eastAsia="MS Mincho"/>
          <w:lang w:val="en-US" w:eastAsia="ja-JP"/>
        </w:rPr>
        <w:t xml:space="preserve"> mapping in frequency, and Figure 1b) </w:t>
      </w:r>
      <w:r w:rsidR="007A6881">
        <w:rPr>
          <w:rFonts w:eastAsia="MS Mincho"/>
          <w:lang w:val="en-US" w:eastAsia="ja-JP"/>
        </w:rPr>
        <w:t xml:space="preserve">shows </w:t>
      </w:r>
      <w:r w:rsidR="00832918">
        <w:rPr>
          <w:rFonts w:eastAsia="MS Mincho"/>
          <w:lang w:val="en-US" w:eastAsia="ja-JP"/>
        </w:rPr>
        <w:t>l</w:t>
      </w:r>
      <w:r>
        <w:rPr>
          <w:rFonts w:eastAsia="MS Mincho"/>
          <w:lang w:val="en-US" w:eastAsia="ja-JP"/>
        </w:rPr>
        <w:t xml:space="preserve">ocalized </w:t>
      </w:r>
      <w:r w:rsidR="00123FC0">
        <w:rPr>
          <w:rFonts w:eastAsia="MS Mincho"/>
          <w:lang w:val="en-US" w:eastAsia="ja-JP"/>
        </w:rPr>
        <w:t>REG to NR-CCE mapping in frequency</w:t>
      </w:r>
      <w:r>
        <w:rPr>
          <w:rFonts w:eastAsia="MS Mincho"/>
          <w:lang w:val="en-US" w:eastAsia="ja-JP"/>
        </w:rPr>
        <w:t>. The following assumptions are behind the example</w:t>
      </w:r>
      <w:r w:rsidR="007A6881">
        <w:rPr>
          <w:rFonts w:eastAsia="MS Mincho"/>
          <w:lang w:val="en-US" w:eastAsia="ja-JP"/>
        </w:rPr>
        <w:t>s</w:t>
      </w:r>
      <w:r>
        <w:rPr>
          <w:rFonts w:eastAsia="MS Mincho"/>
          <w:lang w:val="en-US" w:eastAsia="ja-JP"/>
        </w:rPr>
        <w:t xml:space="preserve"> shown in </w:t>
      </w:r>
      <w:r w:rsidR="009502A9">
        <w:rPr>
          <w:rFonts w:eastAsia="MS Mincho"/>
          <w:lang w:val="en-US" w:eastAsia="ja-JP"/>
        </w:rPr>
        <w:t>F</w:t>
      </w:r>
      <w:r>
        <w:rPr>
          <w:rFonts w:eastAsia="MS Mincho"/>
          <w:lang w:val="en-US" w:eastAsia="ja-JP"/>
        </w:rPr>
        <w:t>igure 1</w:t>
      </w:r>
    </w:p>
    <w:p w14:paraId="2519FCA6" w14:textId="1306E4E5" w:rsidR="003C3261" w:rsidRDefault="003C3261" w:rsidP="003C3261">
      <w:pPr>
        <w:pStyle w:val="ListParagraph"/>
        <w:numPr>
          <w:ilvl w:val="0"/>
          <w:numId w:val="35"/>
        </w:numPr>
        <w:spacing w:after="120"/>
        <w:jc w:val="both"/>
        <w:rPr>
          <w:rFonts w:eastAsia="MS Mincho"/>
          <w:sz w:val="20"/>
          <w:lang w:val="en-US" w:eastAsia="ja-JP"/>
        </w:rPr>
      </w:pPr>
      <w:r>
        <w:rPr>
          <w:rFonts w:eastAsia="MS Mincho"/>
          <w:sz w:val="20"/>
          <w:lang w:val="en-US" w:eastAsia="ja-JP"/>
        </w:rPr>
        <w:t>The</w:t>
      </w:r>
      <w:r w:rsidRPr="00B70A76">
        <w:rPr>
          <w:rFonts w:eastAsia="MS Mincho"/>
          <w:sz w:val="20"/>
          <w:lang w:val="en-US" w:eastAsia="ja-JP"/>
        </w:rPr>
        <w:t xml:space="preserve"> size of NR-CCE is 4 PRBs. This provides a dimensioning comparable to LTE CCE</w:t>
      </w:r>
      <w:r>
        <w:rPr>
          <w:rFonts w:eastAsia="MS Mincho"/>
          <w:sz w:val="20"/>
          <w:lang w:val="en-US" w:eastAsia="ja-JP"/>
        </w:rPr>
        <w:t xml:space="preserve"> [5]</w:t>
      </w:r>
      <w:r w:rsidRPr="00B70A76">
        <w:rPr>
          <w:rFonts w:eastAsia="MS Mincho"/>
          <w:sz w:val="20"/>
          <w:lang w:val="en-US" w:eastAsia="ja-JP"/>
        </w:rPr>
        <w:t xml:space="preserve">. </w:t>
      </w:r>
    </w:p>
    <w:p w14:paraId="3591D2D3" w14:textId="03AB2C83" w:rsidR="0091090F" w:rsidRDefault="00123FC0" w:rsidP="0091090F">
      <w:pPr>
        <w:pStyle w:val="ListParagraph"/>
        <w:numPr>
          <w:ilvl w:val="0"/>
          <w:numId w:val="35"/>
        </w:numPr>
        <w:spacing w:after="120"/>
        <w:jc w:val="both"/>
        <w:rPr>
          <w:rFonts w:eastAsia="MS Mincho"/>
          <w:sz w:val="20"/>
          <w:lang w:val="en-US" w:eastAsia="ja-JP"/>
        </w:rPr>
      </w:pPr>
      <w:r>
        <w:rPr>
          <w:rFonts w:eastAsia="MS Mincho"/>
          <w:sz w:val="20"/>
          <w:lang w:val="en-US" w:eastAsia="ja-JP"/>
        </w:rPr>
        <w:t>Only one symbol is allocated to PDCCH</w:t>
      </w:r>
    </w:p>
    <w:p w14:paraId="3555BB4D" w14:textId="77777777" w:rsidR="009502A9" w:rsidRDefault="003C3261" w:rsidP="003C3261">
      <w:pPr>
        <w:pStyle w:val="ListParagraph"/>
        <w:numPr>
          <w:ilvl w:val="0"/>
          <w:numId w:val="35"/>
        </w:numPr>
        <w:spacing w:after="120"/>
        <w:jc w:val="both"/>
        <w:rPr>
          <w:rFonts w:eastAsia="MS Mincho"/>
          <w:sz w:val="20"/>
          <w:lang w:val="en-US" w:eastAsia="ja-JP"/>
        </w:rPr>
      </w:pPr>
      <w:r>
        <w:rPr>
          <w:rFonts w:eastAsia="MS Mincho"/>
          <w:sz w:val="20"/>
          <w:lang w:val="en-US" w:eastAsia="ja-JP"/>
        </w:rPr>
        <w:t>NR-</w:t>
      </w:r>
      <w:r w:rsidRPr="00171F0C">
        <w:rPr>
          <w:rFonts w:eastAsia="MS Mincho"/>
          <w:sz w:val="20"/>
          <w:lang w:val="en-US" w:eastAsia="ja-JP"/>
        </w:rPr>
        <w:t xml:space="preserve">CCEs are </w:t>
      </w:r>
      <w:r>
        <w:rPr>
          <w:rFonts w:eastAsia="MS Mincho"/>
          <w:sz w:val="20"/>
          <w:lang w:val="en-US" w:eastAsia="ja-JP"/>
        </w:rPr>
        <w:t>mapped into</w:t>
      </w:r>
      <w:r w:rsidRPr="00171F0C">
        <w:rPr>
          <w:rFonts w:eastAsia="MS Mincho"/>
          <w:sz w:val="20"/>
          <w:lang w:val="en-US" w:eastAsia="ja-JP"/>
        </w:rPr>
        <w:t xml:space="preserve"> a 4-PRB </w:t>
      </w:r>
      <w:r>
        <w:rPr>
          <w:rFonts w:eastAsia="MS Mincho"/>
          <w:sz w:val="20"/>
          <w:lang w:val="en-US" w:eastAsia="ja-JP"/>
        </w:rPr>
        <w:t>grid.</w:t>
      </w:r>
      <w:r w:rsidR="00881D4F">
        <w:rPr>
          <w:rFonts w:eastAsia="MS Mincho"/>
          <w:sz w:val="20"/>
          <w:lang w:val="en-US" w:eastAsia="ja-JP"/>
        </w:rPr>
        <w:t xml:space="preserve"> This approach allows to maximize</w:t>
      </w:r>
      <w:r w:rsidR="00881D4F" w:rsidRPr="00B149A6">
        <w:rPr>
          <w:rFonts w:eastAsia="MS Mincho"/>
          <w:sz w:val="20"/>
          <w:lang w:val="en-US" w:eastAsia="ja-JP"/>
        </w:rPr>
        <w:t xml:space="preserve"> the frequency diversity within each NR-CCE</w:t>
      </w:r>
      <w:r w:rsidR="00E611AE">
        <w:rPr>
          <w:rFonts w:eastAsia="MS Mincho"/>
          <w:sz w:val="20"/>
          <w:lang w:val="en-US" w:eastAsia="ja-JP"/>
        </w:rPr>
        <w:t xml:space="preserve"> when using distributed mapping</w:t>
      </w:r>
      <w:r w:rsidR="00881D4F" w:rsidRPr="00B149A6">
        <w:rPr>
          <w:rFonts w:eastAsia="MS Mincho"/>
          <w:sz w:val="20"/>
          <w:lang w:val="en-US" w:eastAsia="ja-JP"/>
        </w:rPr>
        <w:t xml:space="preserve">. </w:t>
      </w:r>
      <w:r>
        <w:rPr>
          <w:rFonts w:eastAsia="MS Mincho"/>
          <w:sz w:val="20"/>
          <w:lang w:val="en-US" w:eastAsia="ja-JP"/>
        </w:rPr>
        <w:t>This provides</w:t>
      </w:r>
      <w:r w:rsidR="00881D4F">
        <w:rPr>
          <w:rFonts w:eastAsia="MS Mincho"/>
          <w:sz w:val="20"/>
          <w:lang w:val="en-US" w:eastAsia="ja-JP"/>
        </w:rPr>
        <w:t xml:space="preserve"> also</w:t>
      </w:r>
      <w:r>
        <w:rPr>
          <w:rFonts w:eastAsia="MS Mincho"/>
          <w:sz w:val="20"/>
          <w:lang w:val="en-US" w:eastAsia="ja-JP"/>
        </w:rPr>
        <w:t xml:space="preserve"> smooth multiplexing between </w:t>
      </w:r>
      <w:r w:rsidR="00441B0A">
        <w:rPr>
          <w:rFonts w:eastAsia="MS Mincho"/>
          <w:sz w:val="20"/>
          <w:lang w:val="en-US" w:eastAsia="ja-JP"/>
        </w:rPr>
        <w:t>NR-CCEs based on distributed and localized mapping</w:t>
      </w:r>
      <w:r>
        <w:rPr>
          <w:rFonts w:eastAsia="MS Mincho"/>
          <w:sz w:val="20"/>
          <w:lang w:val="en-US" w:eastAsia="ja-JP"/>
        </w:rPr>
        <w:t>.</w:t>
      </w:r>
    </w:p>
    <w:p w14:paraId="0F0A65E4" w14:textId="77777777" w:rsidR="00961DDB" w:rsidRDefault="00961DDB" w:rsidP="00C7542D">
      <w:pPr>
        <w:spacing w:after="0"/>
        <w:jc w:val="both"/>
        <w:rPr>
          <w:rFonts w:eastAsia="MS Mincho"/>
          <w:lang w:val="en-US" w:eastAsia="ja-JP"/>
        </w:rPr>
      </w:pPr>
    </w:p>
    <w:p w14:paraId="50E988D6" w14:textId="68D20ADA" w:rsidR="00961DDB" w:rsidRPr="009502A9" w:rsidRDefault="00961DDB" w:rsidP="009502A9">
      <w:pPr>
        <w:keepNext/>
        <w:spacing w:after="120"/>
        <w:jc w:val="both"/>
        <w:rPr>
          <w:sz w:val="16"/>
        </w:rPr>
      </w:pPr>
      <w:r w:rsidRPr="00961DDB">
        <w:rPr>
          <w:noProof/>
          <w:lang w:val="fi-FI" w:eastAsia="fi-FI"/>
        </w:rPr>
        <w:drawing>
          <wp:inline distT="0" distB="0" distL="0" distR="0" wp14:anchorId="58467695" wp14:editId="43361710">
            <wp:extent cx="6120765" cy="53698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536981"/>
                    </a:xfrm>
                    <a:prstGeom prst="rect">
                      <a:avLst/>
                    </a:prstGeom>
                    <a:noFill/>
                    <a:ln>
                      <a:noFill/>
                    </a:ln>
                  </pic:spPr>
                </pic:pic>
              </a:graphicData>
            </a:graphic>
          </wp:inline>
        </w:drawing>
      </w:r>
    </w:p>
    <w:p w14:paraId="5CF747B4" w14:textId="7322342E" w:rsidR="00832918" w:rsidRPr="003F4488" w:rsidRDefault="00832918" w:rsidP="009502A9">
      <w:pPr>
        <w:pStyle w:val="ListParagraph"/>
        <w:keepNext/>
        <w:numPr>
          <w:ilvl w:val="0"/>
          <w:numId w:val="33"/>
        </w:numPr>
        <w:spacing w:after="120"/>
        <w:jc w:val="center"/>
      </w:pPr>
      <w:r w:rsidRPr="009502A9">
        <w:rPr>
          <w:sz w:val="20"/>
        </w:rPr>
        <w:t>Distributed mapping</w:t>
      </w:r>
    </w:p>
    <w:p w14:paraId="15869D8F" w14:textId="77777777" w:rsidR="00832918" w:rsidRPr="009502A9" w:rsidRDefault="00832918" w:rsidP="009502A9">
      <w:pPr>
        <w:keepNext/>
        <w:spacing w:after="120"/>
        <w:jc w:val="both"/>
      </w:pPr>
    </w:p>
    <w:p w14:paraId="1CF39659" w14:textId="0A22F1DA" w:rsidR="00961DDB" w:rsidRDefault="00832918" w:rsidP="00C7542D">
      <w:pPr>
        <w:spacing w:after="0"/>
        <w:jc w:val="both"/>
        <w:rPr>
          <w:rFonts w:eastAsia="MS Mincho"/>
          <w:lang w:val="en-US" w:eastAsia="ja-JP"/>
        </w:rPr>
      </w:pPr>
      <w:r w:rsidRPr="00832918">
        <w:rPr>
          <w:noProof/>
          <w:lang w:val="fi-FI" w:eastAsia="fi-FI"/>
        </w:rPr>
        <w:drawing>
          <wp:inline distT="0" distB="0" distL="0" distR="0" wp14:anchorId="7927783E" wp14:editId="7F89878A">
            <wp:extent cx="6120765" cy="5369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536981"/>
                    </a:xfrm>
                    <a:prstGeom prst="rect">
                      <a:avLst/>
                    </a:prstGeom>
                    <a:noFill/>
                    <a:ln>
                      <a:noFill/>
                    </a:ln>
                  </pic:spPr>
                </pic:pic>
              </a:graphicData>
            </a:graphic>
          </wp:inline>
        </w:drawing>
      </w:r>
    </w:p>
    <w:p w14:paraId="33711362" w14:textId="77777777" w:rsidR="00832918" w:rsidRDefault="00832918" w:rsidP="009502A9">
      <w:pPr>
        <w:pStyle w:val="ListParagraph"/>
        <w:keepNext/>
        <w:spacing w:after="120"/>
        <w:rPr>
          <w:sz w:val="20"/>
        </w:rPr>
      </w:pPr>
    </w:p>
    <w:p w14:paraId="573B8DDB" w14:textId="6F180742" w:rsidR="00832918" w:rsidRPr="007D2953" w:rsidRDefault="00832918" w:rsidP="009502A9">
      <w:pPr>
        <w:pStyle w:val="ListParagraph"/>
        <w:keepNext/>
        <w:numPr>
          <w:ilvl w:val="0"/>
          <w:numId w:val="33"/>
        </w:numPr>
        <w:spacing w:after="120"/>
        <w:jc w:val="center"/>
        <w:rPr>
          <w:sz w:val="20"/>
        </w:rPr>
      </w:pPr>
      <w:r>
        <w:rPr>
          <w:sz w:val="20"/>
        </w:rPr>
        <w:t>Localized</w:t>
      </w:r>
      <w:r w:rsidRPr="007D2953">
        <w:rPr>
          <w:sz w:val="20"/>
        </w:rPr>
        <w:t xml:space="preserve"> mapping</w:t>
      </w:r>
    </w:p>
    <w:p w14:paraId="44A15B66" w14:textId="77777777" w:rsidR="00832918" w:rsidRDefault="00832918" w:rsidP="00832918">
      <w:pPr>
        <w:pStyle w:val="Caption"/>
        <w:jc w:val="center"/>
      </w:pPr>
    </w:p>
    <w:p w14:paraId="0AEDFD60" w14:textId="17640AD8" w:rsidR="00832918" w:rsidRDefault="00832918" w:rsidP="00832918">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sidR="00441194">
        <w:rPr>
          <w:noProof/>
        </w:rPr>
        <w:t>1</w:t>
      </w:r>
      <w:r>
        <w:fldChar w:fldCharType="end"/>
      </w:r>
      <w:r>
        <w:t>. Distributed and locali</w:t>
      </w:r>
      <w:r w:rsidR="00441194">
        <w:t>zed mapping of NR-REGs in f</w:t>
      </w:r>
      <w:r>
        <w:t>requency.</w:t>
      </w:r>
    </w:p>
    <w:p w14:paraId="229903AE" w14:textId="581DB2DB" w:rsidR="003C3261" w:rsidRDefault="003C3261" w:rsidP="009502A9"/>
    <w:p w14:paraId="0CC62440" w14:textId="43107A75" w:rsidR="009502A9" w:rsidRPr="001F28AA" w:rsidRDefault="009502A9" w:rsidP="009502A9">
      <w:pPr>
        <w:spacing w:after="0"/>
        <w:jc w:val="both"/>
        <w:rPr>
          <w:bCs/>
          <w:lang w:val="en-US"/>
        </w:rPr>
      </w:pPr>
      <w:r>
        <w:t xml:space="preserve">The primary goal of REG to NR-CCE mapping is to provide the necessary control resource </w:t>
      </w:r>
      <w:r w:rsidR="00B35786">
        <w:t xml:space="preserve">units </w:t>
      </w:r>
      <w:r>
        <w:t xml:space="preserve">for control search spaces. </w:t>
      </w:r>
    </w:p>
    <w:p w14:paraId="286962C6" w14:textId="77777777" w:rsidR="009502A9" w:rsidRPr="005B1FF6" w:rsidRDefault="009502A9" w:rsidP="009502A9">
      <w:r>
        <w:t>It makes sense to utlize the same mapping principles for different control search spaces. This would mean for example that the principle how distributed mapping is arranged is the same for both common search (CSS) and user specific search space (USS).</w:t>
      </w:r>
    </w:p>
    <w:p w14:paraId="0EA55AFC" w14:textId="77777777" w:rsidR="009502A9" w:rsidRDefault="009502A9" w:rsidP="009502A9">
      <w:pPr>
        <w:spacing w:after="0"/>
        <w:rPr>
          <w:bCs/>
          <w:i/>
        </w:rPr>
      </w:pPr>
      <w:r>
        <w:rPr>
          <w:b/>
          <w:i/>
        </w:rPr>
        <w:t>Proposal</w:t>
      </w:r>
      <w:r w:rsidRPr="00367367">
        <w:rPr>
          <w:b/>
          <w:i/>
        </w:rPr>
        <w:t xml:space="preserve"> #1</w:t>
      </w:r>
      <w:r>
        <w:t xml:space="preserve">: </w:t>
      </w:r>
      <w:r>
        <w:rPr>
          <w:bCs/>
          <w:i/>
        </w:rPr>
        <w:t>The size of NR-CCE is 4 PRBs (K=4)</w:t>
      </w:r>
    </w:p>
    <w:p w14:paraId="78A01E28" w14:textId="77777777" w:rsidR="009502A9" w:rsidRDefault="009502A9" w:rsidP="009502A9">
      <w:pPr>
        <w:spacing w:after="0"/>
        <w:rPr>
          <w:bCs/>
          <w:i/>
        </w:rPr>
      </w:pPr>
      <w:r>
        <w:rPr>
          <w:b/>
          <w:i/>
        </w:rPr>
        <w:t>Proposal</w:t>
      </w:r>
      <w:r w:rsidRPr="00367367">
        <w:rPr>
          <w:b/>
          <w:i/>
        </w:rPr>
        <w:t xml:space="preserve"> #</w:t>
      </w:r>
      <w:r>
        <w:rPr>
          <w:b/>
          <w:i/>
        </w:rPr>
        <w:t>2</w:t>
      </w:r>
      <w:r>
        <w:t xml:space="preserve">: </w:t>
      </w:r>
      <w:r>
        <w:rPr>
          <w:bCs/>
          <w:i/>
        </w:rPr>
        <w:t>NR-CCEs are defined based on a 4-PRB grid</w:t>
      </w:r>
    </w:p>
    <w:p w14:paraId="6DFF1042" w14:textId="3853D561" w:rsidR="009502A9" w:rsidRDefault="009502A9" w:rsidP="009502A9">
      <w:pPr>
        <w:spacing w:after="0"/>
        <w:rPr>
          <w:i/>
        </w:rPr>
      </w:pPr>
      <w:r>
        <w:rPr>
          <w:b/>
          <w:i/>
        </w:rPr>
        <w:t>Proposal</w:t>
      </w:r>
      <w:r w:rsidRPr="00367367">
        <w:rPr>
          <w:b/>
          <w:i/>
        </w:rPr>
        <w:t xml:space="preserve"> #</w:t>
      </w:r>
      <w:r>
        <w:rPr>
          <w:b/>
          <w:i/>
        </w:rPr>
        <w:t>3</w:t>
      </w:r>
      <w:r>
        <w:t xml:space="preserve">: </w:t>
      </w:r>
      <w:r>
        <w:rPr>
          <w:i/>
        </w:rPr>
        <w:t>Define common solution for distributed mapping of REGs applicable to both CSS and USS</w:t>
      </w:r>
    </w:p>
    <w:p w14:paraId="6D7B9374" w14:textId="77777777" w:rsidR="00E611AE" w:rsidRPr="009502A9" w:rsidRDefault="00E611AE" w:rsidP="006B0B90">
      <w:pPr>
        <w:spacing w:after="0"/>
        <w:rPr>
          <w:i/>
        </w:rPr>
      </w:pPr>
    </w:p>
    <w:p w14:paraId="45A0DA64" w14:textId="7F2B515F" w:rsidR="003C3261" w:rsidRPr="00F4065A" w:rsidRDefault="003C3261" w:rsidP="003C3261">
      <w:pPr>
        <w:pStyle w:val="Heading2"/>
        <w:rPr>
          <w:sz w:val="24"/>
        </w:rPr>
      </w:pPr>
      <w:r>
        <w:rPr>
          <w:sz w:val="24"/>
        </w:rPr>
        <w:t>2</w:t>
      </w:r>
      <w:r w:rsidRPr="00F4065A">
        <w:rPr>
          <w:sz w:val="24"/>
        </w:rPr>
        <w:t>.</w:t>
      </w:r>
      <w:r>
        <w:rPr>
          <w:sz w:val="24"/>
        </w:rPr>
        <w:t>1</w:t>
      </w:r>
      <w:r w:rsidRPr="00F4065A">
        <w:rPr>
          <w:sz w:val="24"/>
        </w:rPr>
        <w:t xml:space="preserve">. </w:t>
      </w:r>
      <w:r w:rsidRPr="00F4065A">
        <w:rPr>
          <w:sz w:val="24"/>
        </w:rPr>
        <w:tab/>
      </w:r>
      <w:r>
        <w:rPr>
          <w:sz w:val="24"/>
        </w:rPr>
        <w:t>PDCCH mapping in the case of multiple symbols</w:t>
      </w:r>
    </w:p>
    <w:p w14:paraId="00225EAD" w14:textId="45D48147" w:rsidR="003C3261" w:rsidRDefault="00441B0A" w:rsidP="009502A9">
      <w:pPr>
        <w:spacing w:after="0"/>
      </w:pPr>
      <w:r>
        <w:t xml:space="preserve">One of the </w:t>
      </w:r>
      <w:r w:rsidR="00441194">
        <w:t>open items related to NR-CCE construction is how to make</w:t>
      </w:r>
      <w:r w:rsidR="0091090F">
        <w:t xml:space="preserve"> it in the case when PDCCH covers multiple OFDM </w:t>
      </w:r>
      <w:r w:rsidR="00441194">
        <w:t>symbols</w:t>
      </w:r>
      <w:r w:rsidR="00B35786">
        <w:t>, especially in case of localized transmission</w:t>
      </w:r>
      <w:r w:rsidR="00441194">
        <w:t xml:space="preserve">. </w:t>
      </w:r>
      <w:r w:rsidR="00C6648F">
        <w:t>There are two options on table, as shown in Figure 2</w:t>
      </w:r>
    </w:p>
    <w:p w14:paraId="376984FD" w14:textId="46DD9268" w:rsidR="00441194" w:rsidRPr="009502A9" w:rsidRDefault="00C6648F" w:rsidP="009502A9">
      <w:pPr>
        <w:pStyle w:val="ListParagraph"/>
        <w:numPr>
          <w:ilvl w:val="0"/>
          <w:numId w:val="36"/>
        </w:numPr>
        <w:rPr>
          <w:lang w:val="en-US"/>
        </w:rPr>
      </w:pPr>
      <w:r>
        <w:rPr>
          <w:sz w:val="20"/>
          <w:lang w:val="en-US"/>
        </w:rPr>
        <w:t xml:space="preserve">Figure 2a) </w:t>
      </w:r>
      <w:r w:rsidR="00441194" w:rsidRPr="009502A9">
        <w:rPr>
          <w:sz w:val="20"/>
          <w:lang w:val="en-US"/>
        </w:rPr>
        <w:t xml:space="preserve">Different REGs are located always </w:t>
      </w:r>
      <w:r w:rsidR="0091090F">
        <w:rPr>
          <w:sz w:val="20"/>
          <w:lang w:val="en-US"/>
        </w:rPr>
        <w:t>within</w:t>
      </w:r>
      <w:r w:rsidR="00441194" w:rsidRPr="009502A9">
        <w:rPr>
          <w:sz w:val="20"/>
          <w:lang w:val="en-US"/>
        </w:rPr>
        <w:t xml:space="preserve"> the same </w:t>
      </w:r>
      <w:r w:rsidR="0091090F">
        <w:rPr>
          <w:sz w:val="20"/>
          <w:lang w:val="en-US"/>
        </w:rPr>
        <w:t xml:space="preserve">OFDM </w:t>
      </w:r>
      <w:r w:rsidR="00441194" w:rsidRPr="009502A9">
        <w:rPr>
          <w:sz w:val="20"/>
          <w:lang w:val="en-US"/>
        </w:rPr>
        <w:t>symbol</w:t>
      </w:r>
      <w:r w:rsidR="00E611AE">
        <w:rPr>
          <w:sz w:val="20"/>
          <w:lang w:val="en-US"/>
        </w:rPr>
        <w:t>,</w:t>
      </w:r>
      <w:r w:rsidR="00D41004">
        <w:rPr>
          <w:sz w:val="20"/>
          <w:lang w:val="en-US"/>
        </w:rPr>
        <w:t xml:space="preserve"> and REG to NR-CCE mapping is based on </w:t>
      </w:r>
      <w:r w:rsidR="0091090F">
        <w:rPr>
          <w:sz w:val="20"/>
          <w:lang w:val="en-US"/>
        </w:rPr>
        <w:t>frequency</w:t>
      </w:r>
      <w:r w:rsidR="00D41004">
        <w:rPr>
          <w:sz w:val="20"/>
          <w:lang w:val="en-US"/>
        </w:rPr>
        <w:t xml:space="preserve"> first</w:t>
      </w:r>
      <w:r w:rsidR="0091090F">
        <w:rPr>
          <w:sz w:val="20"/>
          <w:lang w:val="en-US"/>
        </w:rPr>
        <w:t xml:space="preserve"> -principle</w:t>
      </w:r>
      <w:r w:rsidR="00D41004">
        <w:rPr>
          <w:sz w:val="20"/>
          <w:lang w:val="en-US"/>
        </w:rPr>
        <w:t xml:space="preserve">. </w:t>
      </w:r>
      <w:r>
        <w:rPr>
          <w:sz w:val="20"/>
          <w:lang w:val="en-US"/>
        </w:rPr>
        <w:t xml:space="preserve">This option has inbuilt support for varying </w:t>
      </w:r>
      <w:r w:rsidR="00D41004">
        <w:rPr>
          <w:sz w:val="20"/>
          <w:lang w:val="en-US"/>
        </w:rPr>
        <w:t xml:space="preserve">starting position </w:t>
      </w:r>
      <w:r w:rsidR="0091090F">
        <w:rPr>
          <w:sz w:val="20"/>
          <w:lang w:val="en-US"/>
        </w:rPr>
        <w:t>of the</w:t>
      </w:r>
      <w:r w:rsidR="00D41004">
        <w:rPr>
          <w:sz w:val="20"/>
          <w:lang w:val="en-US"/>
        </w:rPr>
        <w:t xml:space="preserve"> </w:t>
      </w:r>
      <w:r w:rsidR="00E611AE">
        <w:rPr>
          <w:sz w:val="20"/>
          <w:lang w:val="en-US"/>
        </w:rPr>
        <w:t>PDSCH</w:t>
      </w:r>
      <w:r w:rsidR="00D41004">
        <w:rPr>
          <w:sz w:val="20"/>
          <w:lang w:val="en-US"/>
        </w:rPr>
        <w:t>.</w:t>
      </w:r>
      <w:r>
        <w:rPr>
          <w:sz w:val="20"/>
          <w:lang w:val="en-US"/>
        </w:rPr>
        <w:t xml:space="preserve"> </w:t>
      </w:r>
    </w:p>
    <w:p w14:paraId="0B6280B7" w14:textId="023200DA" w:rsidR="00441194" w:rsidRPr="009502A9" w:rsidRDefault="00C6648F" w:rsidP="009502A9">
      <w:pPr>
        <w:pStyle w:val="ListParagraph"/>
        <w:numPr>
          <w:ilvl w:val="0"/>
          <w:numId w:val="36"/>
        </w:numPr>
        <w:rPr>
          <w:lang w:val="en-US"/>
        </w:rPr>
      </w:pPr>
      <w:r>
        <w:rPr>
          <w:sz w:val="20"/>
          <w:lang w:val="en-US"/>
        </w:rPr>
        <w:t xml:space="preserve">Figure 2b) </w:t>
      </w:r>
      <w:r w:rsidR="00441194">
        <w:rPr>
          <w:sz w:val="20"/>
          <w:lang w:val="en-US"/>
        </w:rPr>
        <w:t>Different REGs can be located on the same or different symbol depending on the</w:t>
      </w:r>
      <w:r w:rsidR="00D41004">
        <w:rPr>
          <w:sz w:val="20"/>
          <w:lang w:val="en-US"/>
        </w:rPr>
        <w:t xml:space="preserve"> number of OFDM symbols allocated to NR-CCE.</w:t>
      </w:r>
      <w:r w:rsidR="00441194">
        <w:rPr>
          <w:sz w:val="20"/>
          <w:lang w:val="en-US"/>
        </w:rPr>
        <w:t xml:space="preserve"> </w:t>
      </w:r>
      <w:r w:rsidR="00D41004">
        <w:rPr>
          <w:sz w:val="20"/>
          <w:lang w:val="en-US"/>
        </w:rPr>
        <w:t xml:space="preserve">In this option, REG to NR-CCE mapping is based on </w:t>
      </w:r>
      <w:r w:rsidR="003F4488">
        <w:rPr>
          <w:sz w:val="20"/>
          <w:lang w:val="en-US"/>
        </w:rPr>
        <w:t>time first</w:t>
      </w:r>
      <w:r w:rsidR="0091090F">
        <w:rPr>
          <w:sz w:val="20"/>
          <w:lang w:val="en-US"/>
        </w:rPr>
        <w:t xml:space="preserve"> -principle</w:t>
      </w:r>
      <w:r w:rsidR="00D41004">
        <w:rPr>
          <w:sz w:val="20"/>
          <w:lang w:val="en-US"/>
        </w:rPr>
        <w:t xml:space="preserve">. </w:t>
      </w:r>
    </w:p>
    <w:p w14:paraId="3318AF00" w14:textId="77777777" w:rsidR="00C7542D" w:rsidRPr="009502A9" w:rsidRDefault="00C7542D" w:rsidP="00C7542D">
      <w:pPr>
        <w:spacing w:after="0"/>
        <w:jc w:val="both"/>
        <w:rPr>
          <w:rFonts w:eastAsia="MS Mincho"/>
          <w:sz w:val="10"/>
          <w:lang w:val="en-US" w:eastAsia="ja-JP"/>
        </w:rPr>
      </w:pPr>
    </w:p>
    <w:p w14:paraId="54FE5097" w14:textId="77777777" w:rsidR="00C7542D" w:rsidRDefault="00C7542D" w:rsidP="00C7542D">
      <w:pPr>
        <w:spacing w:after="0"/>
        <w:jc w:val="both"/>
        <w:rPr>
          <w:rFonts w:eastAsia="MS Mincho"/>
          <w:lang w:val="en-US" w:eastAsia="ja-JP"/>
        </w:rPr>
      </w:pPr>
    </w:p>
    <w:p w14:paraId="0E1760BE" w14:textId="0F818060" w:rsidR="00441194" w:rsidRDefault="00D41004" w:rsidP="009502A9">
      <w:pPr>
        <w:spacing w:after="0"/>
        <w:jc w:val="center"/>
        <w:rPr>
          <w:rFonts w:eastAsia="MS Mincho"/>
          <w:lang w:val="en-US" w:eastAsia="ja-JP"/>
        </w:rPr>
      </w:pPr>
      <w:r w:rsidRPr="00D41004">
        <w:rPr>
          <w:noProof/>
          <w:lang w:val="fi-FI" w:eastAsia="fi-FI"/>
        </w:rPr>
        <w:drawing>
          <wp:inline distT="0" distB="0" distL="0" distR="0" wp14:anchorId="7E7D7B21" wp14:editId="1BEADF7C">
            <wp:extent cx="3980621" cy="1028430"/>
            <wp:effectExtent l="0" t="0" r="127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81365" cy="1054458"/>
                    </a:xfrm>
                    <a:prstGeom prst="rect">
                      <a:avLst/>
                    </a:prstGeom>
                    <a:noFill/>
                    <a:ln>
                      <a:noFill/>
                    </a:ln>
                  </pic:spPr>
                </pic:pic>
              </a:graphicData>
            </a:graphic>
          </wp:inline>
        </w:drawing>
      </w:r>
    </w:p>
    <w:p w14:paraId="01BB4DD6" w14:textId="4DD15B3D" w:rsidR="00441194" w:rsidRDefault="00441194" w:rsidP="009502A9">
      <w:pPr>
        <w:pStyle w:val="Caption"/>
        <w:spacing w:after="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35786">
        <w:t>Frequency first and time first</w:t>
      </w:r>
      <w:r>
        <w:t xml:space="preserve"> mapping of NR-REGs </w:t>
      </w:r>
      <w:r w:rsidR="00B35786">
        <w:t>to NR-CCE</w:t>
      </w:r>
      <w:r w:rsidR="00C6648F">
        <w:t xml:space="preserve"> (localized mapping)</w:t>
      </w:r>
      <w:r>
        <w:t>.</w:t>
      </w:r>
    </w:p>
    <w:p w14:paraId="31E71A10" w14:textId="77777777" w:rsidR="00441194" w:rsidRDefault="00441194" w:rsidP="00C7542D">
      <w:pPr>
        <w:spacing w:after="0"/>
        <w:jc w:val="both"/>
        <w:rPr>
          <w:rFonts w:eastAsia="MS Mincho"/>
          <w:lang w:val="en-US" w:eastAsia="ja-JP"/>
        </w:rPr>
      </w:pPr>
    </w:p>
    <w:p w14:paraId="2FDC3BB2" w14:textId="73A60A39" w:rsidR="0091090F" w:rsidRDefault="00D41004" w:rsidP="0091090F">
      <w:pPr>
        <w:spacing w:after="0"/>
        <w:jc w:val="both"/>
        <w:rPr>
          <w:rFonts w:eastAsia="MS Mincho"/>
          <w:lang w:val="en-US" w:eastAsia="ja-JP"/>
        </w:rPr>
      </w:pPr>
      <w:r>
        <w:rPr>
          <w:rFonts w:eastAsia="MS Mincho"/>
          <w:lang w:val="en-US" w:eastAsia="ja-JP"/>
        </w:rPr>
        <w:lastRenderedPageBreak/>
        <w:t>We think that REG to NR-CCE mapping should be based pri</w:t>
      </w:r>
      <w:r w:rsidR="00581893">
        <w:rPr>
          <w:rFonts w:eastAsia="MS Mincho"/>
          <w:lang w:val="en-US" w:eastAsia="ja-JP"/>
        </w:rPr>
        <w:t>marily on frequency</w:t>
      </w:r>
      <w:r>
        <w:rPr>
          <w:rFonts w:eastAsia="MS Mincho"/>
          <w:lang w:val="en-US" w:eastAsia="ja-JP"/>
        </w:rPr>
        <w:t xml:space="preserve"> first principle </w:t>
      </w:r>
      <w:r w:rsidR="00123FC0">
        <w:rPr>
          <w:rFonts w:eastAsia="MS Mincho"/>
          <w:lang w:val="en-US" w:eastAsia="ja-JP"/>
        </w:rPr>
        <w:t xml:space="preserve">as </w:t>
      </w:r>
      <w:r>
        <w:rPr>
          <w:rFonts w:eastAsia="MS Mincho"/>
          <w:lang w:val="en-US" w:eastAsia="ja-JP"/>
        </w:rPr>
        <w:t>shown in Figure 2</w:t>
      </w:r>
      <w:r w:rsidR="00581893">
        <w:rPr>
          <w:rFonts w:eastAsia="MS Mincho"/>
          <w:lang w:val="en-US" w:eastAsia="ja-JP"/>
        </w:rPr>
        <w:t>a</w:t>
      </w:r>
      <w:r>
        <w:rPr>
          <w:rFonts w:eastAsia="MS Mincho"/>
          <w:lang w:val="en-US" w:eastAsia="ja-JP"/>
        </w:rPr>
        <w:t xml:space="preserve">. </w:t>
      </w:r>
      <w:r w:rsidR="00E611AE">
        <w:rPr>
          <w:rFonts w:eastAsia="MS Mincho"/>
          <w:lang w:val="en-US" w:eastAsia="ja-JP"/>
        </w:rPr>
        <w:t>For example, common search space having only limited configuration opportunities could always follow frequency first –mapping [</w:t>
      </w:r>
      <w:r w:rsidR="00B35786">
        <w:rPr>
          <w:rFonts w:eastAsia="MS Mincho"/>
          <w:lang w:val="en-US" w:eastAsia="ja-JP"/>
        </w:rPr>
        <w:t>6</w:t>
      </w:r>
      <w:r w:rsidR="00E611AE">
        <w:rPr>
          <w:rFonts w:eastAsia="MS Mincho"/>
          <w:lang w:val="en-US" w:eastAsia="ja-JP"/>
        </w:rPr>
        <w:t xml:space="preserve">]. </w:t>
      </w:r>
      <w:r>
        <w:rPr>
          <w:rFonts w:eastAsia="MS Mincho"/>
          <w:lang w:val="en-US" w:eastAsia="ja-JP"/>
        </w:rPr>
        <w:t xml:space="preserve">However there can be certain scenarios, such as narrowband operation where time first mapping could provide certain benefits, e.g. in the cases when only limited number of NR-CCEs are allocated. For that reason, </w:t>
      </w:r>
      <w:r w:rsidR="0061417F">
        <w:rPr>
          <w:rFonts w:eastAsia="MS Mincho"/>
          <w:lang w:val="en-US" w:eastAsia="ja-JP"/>
        </w:rPr>
        <w:t xml:space="preserve">time first mapping </w:t>
      </w:r>
      <w:r w:rsidR="00123FC0">
        <w:rPr>
          <w:rFonts w:eastAsia="MS Mincho"/>
          <w:lang w:val="en-US" w:eastAsia="ja-JP"/>
        </w:rPr>
        <w:t>can</w:t>
      </w:r>
      <w:r w:rsidR="0061417F">
        <w:rPr>
          <w:rFonts w:eastAsia="MS Mincho"/>
          <w:lang w:val="en-US" w:eastAsia="ja-JP"/>
        </w:rPr>
        <w:t xml:space="preserve"> be </w:t>
      </w:r>
      <w:r w:rsidR="00BF3133">
        <w:rPr>
          <w:rFonts w:eastAsia="MS Mincho"/>
          <w:lang w:val="en-US" w:eastAsia="ja-JP"/>
        </w:rPr>
        <w:t>supported</w:t>
      </w:r>
      <w:r w:rsidR="0061417F">
        <w:rPr>
          <w:rFonts w:eastAsia="MS Mincho"/>
          <w:lang w:val="en-US" w:eastAsia="ja-JP"/>
        </w:rPr>
        <w:t xml:space="preserve"> as </w:t>
      </w:r>
      <w:r w:rsidR="00123FC0">
        <w:rPr>
          <w:rFonts w:eastAsia="MS Mincho"/>
          <w:lang w:val="en-US" w:eastAsia="ja-JP"/>
        </w:rPr>
        <w:t xml:space="preserve">a </w:t>
      </w:r>
      <w:r w:rsidR="0061417F">
        <w:rPr>
          <w:rFonts w:eastAsia="MS Mincho"/>
          <w:lang w:val="en-US" w:eastAsia="ja-JP"/>
        </w:rPr>
        <w:t>gNB configuration option</w:t>
      </w:r>
      <w:r w:rsidR="00922DC3">
        <w:rPr>
          <w:rFonts w:eastAsia="MS Mincho"/>
          <w:lang w:val="en-US" w:eastAsia="ja-JP"/>
        </w:rPr>
        <w:t xml:space="preserve"> applicable to USS</w:t>
      </w:r>
      <w:r w:rsidR="0061417F">
        <w:rPr>
          <w:rFonts w:eastAsia="MS Mincho"/>
          <w:lang w:val="en-US" w:eastAsia="ja-JP"/>
        </w:rPr>
        <w:t>.</w:t>
      </w:r>
      <w:r w:rsidR="0091090F">
        <w:rPr>
          <w:rFonts w:eastAsia="MS Mincho"/>
          <w:lang w:val="en-US" w:eastAsia="ja-JP"/>
        </w:rPr>
        <w:t xml:space="preserve"> In order to minimize the system complexity due to different REG to NR-CCE mapping schemes, we think that DMRS stucture should be common for all REGs and it should not vary according to REG to NR-CCE mapping scheme used.</w:t>
      </w:r>
      <w:r w:rsidR="00BF3133">
        <w:rPr>
          <w:rFonts w:eastAsia="MS Mincho"/>
          <w:lang w:val="en-US" w:eastAsia="ja-JP"/>
        </w:rPr>
        <w:t xml:space="preserve"> This provides a modular solution</w:t>
      </w:r>
      <w:r w:rsidR="00123FC0">
        <w:rPr>
          <w:rFonts w:eastAsia="MS Mincho"/>
          <w:lang w:val="en-US" w:eastAsia="ja-JP"/>
        </w:rPr>
        <w:t>,</w:t>
      </w:r>
      <w:r w:rsidR="00BF3133">
        <w:rPr>
          <w:rFonts w:eastAsia="MS Mincho"/>
          <w:lang w:val="en-US" w:eastAsia="ja-JP"/>
        </w:rPr>
        <w:t xml:space="preserve"> which is preferable e.g. from channel </w:t>
      </w:r>
      <w:r w:rsidR="00922DC3">
        <w:rPr>
          <w:rFonts w:eastAsia="MS Mincho"/>
          <w:lang w:val="en-US" w:eastAsia="ja-JP"/>
        </w:rPr>
        <w:t>de</w:t>
      </w:r>
      <w:r w:rsidR="00BF3133">
        <w:rPr>
          <w:rFonts w:eastAsia="MS Mincho"/>
          <w:lang w:val="en-US" w:eastAsia="ja-JP"/>
        </w:rPr>
        <w:t xml:space="preserve">coding complexity as well as channel estimation complexity/performance point of view.  </w:t>
      </w:r>
    </w:p>
    <w:p w14:paraId="6ED5B8F0" w14:textId="21896B0B" w:rsidR="00C6648F" w:rsidRDefault="00C6648F" w:rsidP="00C7542D">
      <w:pPr>
        <w:spacing w:after="0"/>
        <w:jc w:val="both"/>
        <w:rPr>
          <w:rFonts w:eastAsia="MS Mincho"/>
          <w:lang w:val="en-US" w:eastAsia="ja-JP"/>
        </w:rPr>
      </w:pPr>
    </w:p>
    <w:p w14:paraId="434E8EEC" w14:textId="62129D59" w:rsidR="00581893" w:rsidRDefault="00581893" w:rsidP="00581893">
      <w:pPr>
        <w:spacing w:after="0"/>
        <w:rPr>
          <w:bCs/>
          <w:i/>
        </w:rPr>
      </w:pPr>
      <w:r>
        <w:rPr>
          <w:b/>
          <w:i/>
        </w:rPr>
        <w:t>Proposal</w:t>
      </w:r>
      <w:r w:rsidRPr="00367367">
        <w:rPr>
          <w:b/>
          <w:i/>
        </w:rPr>
        <w:t xml:space="preserve"> #</w:t>
      </w:r>
      <w:r w:rsidR="00252BBC">
        <w:rPr>
          <w:b/>
          <w:i/>
        </w:rPr>
        <w:t>4</w:t>
      </w:r>
      <w:r>
        <w:t xml:space="preserve">: </w:t>
      </w:r>
      <w:r>
        <w:rPr>
          <w:bCs/>
          <w:i/>
        </w:rPr>
        <w:t xml:space="preserve">REG to NR-CCE is based primarily on frequency first </w:t>
      </w:r>
      <w:r w:rsidR="005B1FF6">
        <w:rPr>
          <w:bCs/>
          <w:i/>
        </w:rPr>
        <w:t>mapping</w:t>
      </w:r>
      <w:r>
        <w:rPr>
          <w:bCs/>
          <w:i/>
        </w:rPr>
        <w:t>. Time first mapping can be supported as a gNB configuration option.</w:t>
      </w:r>
    </w:p>
    <w:p w14:paraId="21548A68" w14:textId="77777777" w:rsidR="00581893" w:rsidRDefault="00581893" w:rsidP="00C7542D">
      <w:pPr>
        <w:spacing w:after="0"/>
        <w:jc w:val="both"/>
        <w:rPr>
          <w:rFonts w:eastAsia="MS Mincho"/>
          <w:lang w:eastAsia="ja-JP"/>
        </w:rPr>
      </w:pPr>
    </w:p>
    <w:p w14:paraId="172556AF" w14:textId="0735FE76" w:rsidR="0091090F" w:rsidRDefault="0091090F" w:rsidP="0091090F">
      <w:pPr>
        <w:spacing w:after="0"/>
        <w:rPr>
          <w:bCs/>
          <w:i/>
        </w:rPr>
      </w:pPr>
      <w:r>
        <w:rPr>
          <w:b/>
          <w:i/>
        </w:rPr>
        <w:t>Proposal</w:t>
      </w:r>
      <w:r w:rsidRPr="00367367">
        <w:rPr>
          <w:b/>
          <w:i/>
        </w:rPr>
        <w:t xml:space="preserve"> #</w:t>
      </w:r>
      <w:r w:rsidR="00252BBC">
        <w:rPr>
          <w:b/>
          <w:i/>
        </w:rPr>
        <w:t>5</w:t>
      </w:r>
      <w:r>
        <w:t xml:space="preserve">: </w:t>
      </w:r>
      <w:r w:rsidRPr="009502A9">
        <w:rPr>
          <w:rFonts w:eastAsia="MS Mincho"/>
          <w:i/>
          <w:lang w:val="en-US" w:eastAsia="ja-JP"/>
        </w:rPr>
        <w:t xml:space="preserve">DMRS stucture </w:t>
      </w:r>
      <w:r>
        <w:rPr>
          <w:rFonts w:eastAsia="MS Mincho"/>
          <w:i/>
          <w:lang w:val="en-US" w:eastAsia="ja-JP"/>
        </w:rPr>
        <w:t>is</w:t>
      </w:r>
      <w:r w:rsidRPr="009502A9">
        <w:rPr>
          <w:rFonts w:eastAsia="MS Mincho"/>
          <w:i/>
          <w:lang w:val="en-US" w:eastAsia="ja-JP"/>
        </w:rPr>
        <w:t xml:space="preserve"> common for all REGs and </w:t>
      </w:r>
      <w:r>
        <w:rPr>
          <w:rFonts w:eastAsia="MS Mincho"/>
          <w:i/>
          <w:lang w:val="en-US" w:eastAsia="ja-JP"/>
        </w:rPr>
        <w:t>does</w:t>
      </w:r>
      <w:r w:rsidRPr="009502A9">
        <w:rPr>
          <w:rFonts w:eastAsia="MS Mincho"/>
          <w:i/>
          <w:lang w:val="en-US" w:eastAsia="ja-JP"/>
        </w:rPr>
        <w:t xml:space="preserve"> not vary according to </w:t>
      </w:r>
      <w:r w:rsidRPr="005B1FF6">
        <w:rPr>
          <w:rFonts w:eastAsia="MS Mincho"/>
          <w:i/>
          <w:lang w:val="en-US" w:eastAsia="ja-JP"/>
        </w:rPr>
        <w:t>REG to NR-CCE mapping scheme.</w:t>
      </w:r>
    </w:p>
    <w:p w14:paraId="0489022E" w14:textId="77777777" w:rsidR="0091090F" w:rsidRDefault="0091090F" w:rsidP="00C7542D">
      <w:pPr>
        <w:spacing w:after="0"/>
        <w:jc w:val="both"/>
        <w:rPr>
          <w:rFonts w:eastAsia="MS Mincho"/>
          <w:lang w:eastAsia="ja-JP"/>
        </w:rPr>
      </w:pPr>
    </w:p>
    <w:p w14:paraId="0D827FAF" w14:textId="13D0FCDC" w:rsidR="0034111C" w:rsidRPr="00A51522" w:rsidRDefault="00532D0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7DF54905" w:rsidR="00731B79" w:rsidRDefault="003D3FBA" w:rsidP="006060C2">
      <w:pPr>
        <w:spacing w:after="120"/>
        <w:jc w:val="both"/>
        <w:rPr>
          <w:bCs/>
        </w:rPr>
      </w:pPr>
      <w:r w:rsidRPr="00A51522">
        <w:t xml:space="preserve">In this contribution we have discussed </w:t>
      </w:r>
      <w:r w:rsidR="00342AD2">
        <w:rPr>
          <w:bCs/>
        </w:rPr>
        <w:t xml:space="preserve">the </w:t>
      </w:r>
      <w:r w:rsidR="00D20CD6">
        <w:rPr>
          <w:bCs/>
        </w:rPr>
        <w:t>PDCCH search space design for NR</w:t>
      </w:r>
      <w:r w:rsidR="006060C2">
        <w:rPr>
          <w:bCs/>
        </w:rPr>
        <w:t>.</w:t>
      </w:r>
      <w:r w:rsidR="00342AD2">
        <w:rPr>
          <w:bCs/>
        </w:rPr>
        <w:t xml:space="preserve"> Based on the discussion, we make the following proposal</w:t>
      </w:r>
      <w:r w:rsidR="006060C2">
        <w:rPr>
          <w:bCs/>
        </w:rPr>
        <w:t>s</w:t>
      </w:r>
      <w:r w:rsidR="00342AD2">
        <w:rPr>
          <w:bCs/>
        </w:rPr>
        <w:t>:</w:t>
      </w:r>
    </w:p>
    <w:p w14:paraId="2E20EFF2" w14:textId="77777777" w:rsidR="005B1FF6" w:rsidRDefault="005B1FF6" w:rsidP="005B1FF6">
      <w:pPr>
        <w:spacing w:after="0"/>
        <w:rPr>
          <w:bCs/>
          <w:i/>
        </w:rPr>
      </w:pPr>
      <w:r>
        <w:rPr>
          <w:b/>
          <w:i/>
        </w:rPr>
        <w:t>Proposal</w:t>
      </w:r>
      <w:r w:rsidRPr="00367367">
        <w:rPr>
          <w:b/>
          <w:i/>
        </w:rPr>
        <w:t xml:space="preserve"> #1</w:t>
      </w:r>
      <w:r>
        <w:t xml:space="preserve">: </w:t>
      </w:r>
      <w:r>
        <w:rPr>
          <w:bCs/>
          <w:i/>
        </w:rPr>
        <w:t>The size of NR-CCE is 4 PRBs (K=4)</w:t>
      </w:r>
    </w:p>
    <w:p w14:paraId="0CE330DC" w14:textId="77777777" w:rsidR="005B1FF6" w:rsidRDefault="005B1FF6" w:rsidP="005B1FF6">
      <w:pPr>
        <w:spacing w:after="0"/>
        <w:rPr>
          <w:bCs/>
          <w:i/>
        </w:rPr>
      </w:pPr>
    </w:p>
    <w:p w14:paraId="40A1E78A" w14:textId="77777777" w:rsidR="005B1FF6" w:rsidRDefault="005B1FF6" w:rsidP="005B1FF6">
      <w:pPr>
        <w:spacing w:after="0"/>
        <w:rPr>
          <w:bCs/>
          <w:i/>
        </w:rPr>
      </w:pPr>
      <w:r>
        <w:rPr>
          <w:b/>
          <w:i/>
        </w:rPr>
        <w:t>Proposal</w:t>
      </w:r>
      <w:r w:rsidRPr="00367367">
        <w:rPr>
          <w:b/>
          <w:i/>
        </w:rPr>
        <w:t xml:space="preserve"> #</w:t>
      </w:r>
      <w:r>
        <w:rPr>
          <w:b/>
          <w:i/>
        </w:rPr>
        <w:t>2</w:t>
      </w:r>
      <w:r>
        <w:t xml:space="preserve">: </w:t>
      </w:r>
      <w:r>
        <w:rPr>
          <w:bCs/>
          <w:i/>
        </w:rPr>
        <w:t>NR-CCEs are defined based on a 4-PRB grid</w:t>
      </w:r>
    </w:p>
    <w:p w14:paraId="02D62E6F" w14:textId="77777777" w:rsidR="005B1FF6" w:rsidRDefault="005B1FF6" w:rsidP="005B1FF6">
      <w:pPr>
        <w:spacing w:after="0"/>
        <w:rPr>
          <w:bCs/>
          <w:i/>
        </w:rPr>
      </w:pPr>
    </w:p>
    <w:p w14:paraId="1E3C5DB2" w14:textId="77777777" w:rsidR="005B1FF6" w:rsidRPr="007D2953" w:rsidRDefault="005B1FF6" w:rsidP="005B1FF6">
      <w:pPr>
        <w:spacing w:after="0"/>
        <w:rPr>
          <w:i/>
        </w:rPr>
      </w:pPr>
      <w:r>
        <w:rPr>
          <w:b/>
          <w:i/>
        </w:rPr>
        <w:t>Proposal</w:t>
      </w:r>
      <w:r w:rsidRPr="00367367">
        <w:rPr>
          <w:b/>
          <w:i/>
        </w:rPr>
        <w:t xml:space="preserve"> #</w:t>
      </w:r>
      <w:r>
        <w:rPr>
          <w:b/>
          <w:i/>
        </w:rPr>
        <w:t>3</w:t>
      </w:r>
      <w:r>
        <w:t xml:space="preserve">: </w:t>
      </w:r>
      <w:r>
        <w:rPr>
          <w:i/>
        </w:rPr>
        <w:t>Define common solution for distributed mapping of REGs applicable to both CSS and USS</w:t>
      </w:r>
    </w:p>
    <w:p w14:paraId="41F6ADDA" w14:textId="77777777" w:rsidR="005B1FF6" w:rsidRDefault="005B1FF6" w:rsidP="00D20CD6">
      <w:pPr>
        <w:spacing w:after="0"/>
        <w:rPr>
          <w:b/>
          <w:i/>
        </w:rPr>
      </w:pPr>
    </w:p>
    <w:p w14:paraId="40F8FF64" w14:textId="7F5D9617" w:rsidR="005B1FF6" w:rsidRDefault="005B1FF6" w:rsidP="005B1FF6">
      <w:pPr>
        <w:spacing w:after="0"/>
        <w:rPr>
          <w:bCs/>
          <w:i/>
        </w:rPr>
      </w:pPr>
      <w:r>
        <w:rPr>
          <w:b/>
          <w:i/>
        </w:rPr>
        <w:t>Proposal</w:t>
      </w:r>
      <w:r w:rsidRPr="00367367">
        <w:rPr>
          <w:b/>
          <w:i/>
        </w:rPr>
        <w:t xml:space="preserve"> #</w:t>
      </w:r>
      <w:r>
        <w:rPr>
          <w:b/>
          <w:i/>
        </w:rPr>
        <w:t>4</w:t>
      </w:r>
      <w:r>
        <w:t xml:space="preserve">: </w:t>
      </w:r>
      <w:r>
        <w:rPr>
          <w:bCs/>
          <w:i/>
        </w:rPr>
        <w:t>REG to NR-CCE is based primarily on frequency first mapping. Time first mapping can be supported as a gNB configuration option.</w:t>
      </w:r>
    </w:p>
    <w:p w14:paraId="2B6A7AAB" w14:textId="77777777" w:rsidR="005B1FF6" w:rsidRDefault="005B1FF6" w:rsidP="005B1FF6">
      <w:pPr>
        <w:spacing w:after="0"/>
        <w:jc w:val="both"/>
        <w:rPr>
          <w:rFonts w:eastAsia="MS Mincho"/>
          <w:lang w:eastAsia="ja-JP"/>
        </w:rPr>
      </w:pPr>
    </w:p>
    <w:p w14:paraId="2EF0B5B5" w14:textId="77777777" w:rsidR="005B1FF6" w:rsidRDefault="005B1FF6" w:rsidP="005B1FF6">
      <w:pPr>
        <w:spacing w:after="0"/>
        <w:rPr>
          <w:bCs/>
          <w:i/>
        </w:rPr>
      </w:pPr>
      <w:r>
        <w:rPr>
          <w:b/>
          <w:i/>
        </w:rPr>
        <w:t>Proposal</w:t>
      </w:r>
      <w:r w:rsidRPr="00367367">
        <w:rPr>
          <w:b/>
          <w:i/>
        </w:rPr>
        <w:t xml:space="preserve"> #</w:t>
      </w:r>
      <w:r>
        <w:rPr>
          <w:b/>
          <w:i/>
        </w:rPr>
        <w:t>5</w:t>
      </w:r>
      <w:r>
        <w:t xml:space="preserve">: </w:t>
      </w:r>
      <w:r w:rsidRPr="007D2953">
        <w:rPr>
          <w:rFonts w:eastAsia="MS Mincho"/>
          <w:i/>
          <w:lang w:val="en-US" w:eastAsia="ja-JP"/>
        </w:rPr>
        <w:t xml:space="preserve">DMRS stucture </w:t>
      </w:r>
      <w:r>
        <w:rPr>
          <w:rFonts w:eastAsia="MS Mincho"/>
          <w:i/>
          <w:lang w:val="en-US" w:eastAsia="ja-JP"/>
        </w:rPr>
        <w:t>is</w:t>
      </w:r>
      <w:r w:rsidRPr="007D2953">
        <w:rPr>
          <w:rFonts w:eastAsia="MS Mincho"/>
          <w:i/>
          <w:lang w:val="en-US" w:eastAsia="ja-JP"/>
        </w:rPr>
        <w:t xml:space="preserve"> common for all REGs and </w:t>
      </w:r>
      <w:r>
        <w:rPr>
          <w:rFonts w:eastAsia="MS Mincho"/>
          <w:i/>
          <w:lang w:val="en-US" w:eastAsia="ja-JP"/>
        </w:rPr>
        <w:t>does</w:t>
      </w:r>
      <w:r w:rsidRPr="007D2953">
        <w:rPr>
          <w:rFonts w:eastAsia="MS Mincho"/>
          <w:i/>
          <w:lang w:val="en-US" w:eastAsia="ja-JP"/>
        </w:rPr>
        <w:t xml:space="preserve"> not vary according to REG to NR-CCE mapping scheme.</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77D99752" w14:textId="77777777" w:rsidR="00777315" w:rsidRDefault="00777315" w:rsidP="00777315">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p>
    <w:p w14:paraId="718F1C86" w14:textId="3FBB83A2" w:rsidR="00ED1759" w:rsidRDefault="00342AD2" w:rsidP="00342AD2">
      <w:pPr>
        <w:numPr>
          <w:ilvl w:val="0"/>
          <w:numId w:val="1"/>
        </w:numPr>
        <w:rPr>
          <w:sz w:val="18"/>
        </w:rPr>
      </w:pPr>
      <w:r w:rsidRPr="004C3EC7">
        <w:rPr>
          <w:sz w:val="18"/>
        </w:rPr>
        <w:t>RAN1 Chairman’s Notes, 3GPP TSG RAN WG1 Meeting #8</w:t>
      </w:r>
      <w:r w:rsidR="00D162EF">
        <w:rPr>
          <w:sz w:val="18"/>
        </w:rPr>
        <w:t>7</w:t>
      </w:r>
      <w:r w:rsidRPr="004C3EC7">
        <w:rPr>
          <w:sz w:val="18"/>
        </w:rPr>
        <w:t>, 3</w:t>
      </w:r>
      <w:r w:rsidR="0069011A">
        <w:rPr>
          <w:sz w:val="18"/>
        </w:rPr>
        <w:t>GP</w:t>
      </w:r>
      <w:r w:rsidRPr="004C3EC7">
        <w:rPr>
          <w:sz w:val="18"/>
        </w:rPr>
        <w:t>P</w:t>
      </w:r>
    </w:p>
    <w:p w14:paraId="58F02D4D" w14:textId="77777777" w:rsidR="00C43547" w:rsidRDefault="00C43547" w:rsidP="00C43547">
      <w:pPr>
        <w:numPr>
          <w:ilvl w:val="0"/>
          <w:numId w:val="1"/>
        </w:numPr>
        <w:textAlignment w:val="auto"/>
        <w:rPr>
          <w:sz w:val="18"/>
        </w:rPr>
      </w:pPr>
      <w:r>
        <w:rPr>
          <w:sz w:val="18"/>
        </w:rPr>
        <w:t>RAN1 Chairman’s Notes, 3GPP TSG RAN WG1 Meeting NR Ad-Hoc, 3GPP.</w:t>
      </w:r>
    </w:p>
    <w:p w14:paraId="2AECD68F" w14:textId="0F8EC4F9" w:rsidR="00E614F2" w:rsidRPr="007A6881" w:rsidRDefault="007A6881" w:rsidP="007A6881">
      <w:pPr>
        <w:numPr>
          <w:ilvl w:val="0"/>
          <w:numId w:val="1"/>
        </w:numPr>
        <w:rPr>
          <w:sz w:val="18"/>
        </w:rPr>
      </w:pPr>
      <w:r w:rsidRPr="007A6881">
        <w:rPr>
          <w:sz w:val="18"/>
        </w:rPr>
        <w:t>R1-1703310</w:t>
      </w:r>
      <w:r w:rsidR="00E614F2" w:rsidRPr="0067661A">
        <w:rPr>
          <w:sz w:val="18"/>
        </w:rPr>
        <w:t>, “</w:t>
      </w:r>
      <w:r w:rsidRPr="007A6881">
        <w:rPr>
          <w:i/>
          <w:sz w:val="18"/>
        </w:rPr>
        <w:t>On the DL control channel DM-RS and transmission scheme for NR</w:t>
      </w:r>
      <w:r w:rsidR="00E614F2" w:rsidRPr="0067661A">
        <w:rPr>
          <w:sz w:val="18"/>
        </w:rPr>
        <w:t>”</w:t>
      </w:r>
      <w:r w:rsidR="00E614F2" w:rsidRPr="007A6881">
        <w:rPr>
          <w:sz w:val="18"/>
        </w:rPr>
        <w:t>, Nokia, Alcatel-Lucent Shanghai Bell</w:t>
      </w:r>
    </w:p>
    <w:p w14:paraId="3C9AC56D" w14:textId="6B3C0EB0" w:rsidR="00E611AE" w:rsidRPr="007A6881" w:rsidRDefault="007A6881" w:rsidP="007A6881">
      <w:pPr>
        <w:numPr>
          <w:ilvl w:val="0"/>
          <w:numId w:val="1"/>
        </w:numPr>
        <w:rPr>
          <w:sz w:val="18"/>
        </w:rPr>
      </w:pPr>
      <w:r w:rsidRPr="007A6881">
        <w:rPr>
          <w:sz w:val="18"/>
        </w:rPr>
        <w:t>R1-1703313</w:t>
      </w:r>
      <w:r w:rsidR="00E611AE" w:rsidRPr="0067661A">
        <w:rPr>
          <w:sz w:val="18"/>
        </w:rPr>
        <w:t>, “</w:t>
      </w:r>
      <w:r w:rsidR="00E611AE" w:rsidRPr="0067661A">
        <w:rPr>
          <w:i/>
          <w:sz w:val="18"/>
        </w:rPr>
        <w:t xml:space="preserve">On the PDCCH search space </w:t>
      </w:r>
      <w:r w:rsidR="0067661A">
        <w:rPr>
          <w:i/>
          <w:sz w:val="18"/>
        </w:rPr>
        <w:t>structure</w:t>
      </w:r>
      <w:r w:rsidR="00E611AE" w:rsidRPr="0067661A">
        <w:rPr>
          <w:i/>
          <w:sz w:val="18"/>
        </w:rPr>
        <w:t xml:space="preserve"> for NR</w:t>
      </w:r>
      <w:r w:rsidR="00E611AE" w:rsidRPr="0067661A">
        <w:rPr>
          <w:sz w:val="18"/>
        </w:rPr>
        <w:t>”</w:t>
      </w:r>
      <w:r w:rsidR="00E611AE" w:rsidRPr="007A6881">
        <w:rPr>
          <w:sz w:val="18"/>
        </w:rPr>
        <w:t>, Nokia, Alcatel-Lucent Shanghai Bell</w:t>
      </w:r>
    </w:p>
    <w:p w14:paraId="5F9A35ED" w14:textId="77777777" w:rsidR="00E611AE" w:rsidRDefault="00E611AE" w:rsidP="009502A9">
      <w:pPr>
        <w:ind w:left="357"/>
        <w:rPr>
          <w:sz w:val="18"/>
        </w:rPr>
      </w:pPr>
    </w:p>
    <w:p w14:paraId="20BD0726" w14:textId="77777777" w:rsidR="003D132A" w:rsidRDefault="003D132A" w:rsidP="003D132A">
      <w:pPr>
        <w:rPr>
          <w:sz w:val="18"/>
          <w:highlight w:val="yellow"/>
        </w:rPr>
      </w:pPr>
    </w:p>
    <w:p w14:paraId="0EC8032A" w14:textId="77777777" w:rsidR="00142DE2" w:rsidRPr="008D4B8A" w:rsidRDefault="00142DE2" w:rsidP="00F10CB9">
      <w:pPr>
        <w:rPr>
          <w:sz w:val="18"/>
        </w:rPr>
      </w:pPr>
    </w:p>
    <w:sectPr w:rsidR="00142DE2" w:rsidRPr="008D4B8A" w:rsidSect="000131D1">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E0F02" w14:textId="77777777" w:rsidR="004F2C50" w:rsidRDefault="004F2C50">
      <w:r>
        <w:separator/>
      </w:r>
    </w:p>
  </w:endnote>
  <w:endnote w:type="continuationSeparator" w:id="0">
    <w:p w14:paraId="30D67A62" w14:textId="77777777" w:rsidR="004F2C50" w:rsidRDefault="004F2C50">
      <w:r>
        <w:continuationSeparator/>
      </w:r>
    </w:p>
  </w:endnote>
  <w:endnote w:type="continuationNotice" w:id="1">
    <w:p w14:paraId="3D405A03" w14:textId="77777777" w:rsidR="004F2C50" w:rsidRDefault="004F2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30FF1" w14:textId="77777777" w:rsidR="004F2C50" w:rsidRDefault="004F2C50">
      <w:r>
        <w:separator/>
      </w:r>
    </w:p>
  </w:footnote>
  <w:footnote w:type="continuationSeparator" w:id="0">
    <w:p w14:paraId="52F22586" w14:textId="77777777" w:rsidR="004F2C50" w:rsidRDefault="004F2C50">
      <w:r>
        <w:continuationSeparator/>
      </w:r>
    </w:p>
  </w:footnote>
  <w:footnote w:type="continuationNotice" w:id="1">
    <w:p w14:paraId="5B81CFFA" w14:textId="77777777" w:rsidR="004F2C50" w:rsidRDefault="004F2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42451"/>
    <w:multiLevelType w:val="hybridMultilevel"/>
    <w:tmpl w:val="CABAC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16880F5E"/>
    <w:multiLevelType w:val="hybridMultilevel"/>
    <w:tmpl w:val="5D18F93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16F13FF1"/>
    <w:multiLevelType w:val="hybridMultilevel"/>
    <w:tmpl w:val="6E4A7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BE77EE"/>
    <w:multiLevelType w:val="hybridMultilevel"/>
    <w:tmpl w:val="325423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BD6E3C"/>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056716"/>
    <w:multiLevelType w:val="hybridMultilevel"/>
    <w:tmpl w:val="69183EC2"/>
    <w:lvl w:ilvl="0" w:tplc="3A541246">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793A15"/>
    <w:multiLevelType w:val="hybridMultilevel"/>
    <w:tmpl w:val="FA74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636655"/>
    <w:multiLevelType w:val="hybridMultilevel"/>
    <w:tmpl w:val="197631A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E5D0E1D"/>
    <w:multiLevelType w:val="hybridMultilevel"/>
    <w:tmpl w:val="0EA8C6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5"/>
  </w:num>
  <w:num w:numId="3">
    <w:abstractNumId w:val="3"/>
  </w:num>
  <w:num w:numId="4">
    <w:abstractNumId w:val="33"/>
  </w:num>
  <w:num w:numId="5">
    <w:abstractNumId w:val="12"/>
  </w:num>
  <w:num w:numId="6">
    <w:abstractNumId w:val="1"/>
  </w:num>
  <w:num w:numId="7">
    <w:abstractNumId w:val="11"/>
  </w:num>
  <w:num w:numId="8">
    <w:abstractNumId w:val="27"/>
  </w:num>
  <w:num w:numId="9">
    <w:abstractNumId w:val="6"/>
  </w:num>
  <w:num w:numId="10">
    <w:abstractNumId w:val="5"/>
  </w:num>
  <w:num w:numId="11">
    <w:abstractNumId w:val="32"/>
  </w:num>
  <w:num w:numId="12">
    <w:abstractNumId w:val="19"/>
  </w:num>
  <w:num w:numId="13">
    <w:abstractNumId w:val="4"/>
  </w:num>
  <w:num w:numId="14">
    <w:abstractNumId w:val="23"/>
  </w:num>
  <w:num w:numId="15">
    <w:abstractNumId w:val="25"/>
  </w:num>
  <w:num w:numId="16">
    <w:abstractNumId w:val="16"/>
  </w:num>
  <w:num w:numId="17">
    <w:abstractNumId w:val="30"/>
  </w:num>
  <w:num w:numId="18">
    <w:abstractNumId w:val="21"/>
  </w:num>
  <w:num w:numId="19">
    <w:abstractNumId w:val="2"/>
  </w:num>
  <w:num w:numId="20">
    <w:abstractNumId w:val="22"/>
  </w:num>
  <w:num w:numId="21">
    <w:abstractNumId w:val="14"/>
  </w:num>
  <w:num w:numId="22">
    <w:abstractNumId w:val="35"/>
  </w:num>
  <w:num w:numId="23">
    <w:abstractNumId w:val="20"/>
  </w:num>
  <w:num w:numId="24">
    <w:abstractNumId w:val="29"/>
  </w:num>
  <w:num w:numId="25">
    <w:abstractNumId w:val="28"/>
  </w:num>
  <w:num w:numId="26">
    <w:abstractNumId w:val="18"/>
  </w:num>
  <w:num w:numId="27">
    <w:abstractNumId w:val="7"/>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8"/>
  </w:num>
  <w:num w:numId="31">
    <w:abstractNumId w:val="24"/>
  </w:num>
  <w:num w:numId="32">
    <w:abstractNumId w:val="10"/>
  </w:num>
  <w:num w:numId="33">
    <w:abstractNumId w:val="34"/>
  </w:num>
  <w:num w:numId="34">
    <w:abstractNumId w:val="13"/>
  </w:num>
  <w:num w:numId="35">
    <w:abstractNumId w:val="0"/>
  </w:num>
  <w:num w:numId="36">
    <w:abstractNumId w:val="26"/>
  </w:num>
  <w:num w:numId="37">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30048"/>
    <w:rsid w:val="0003072D"/>
    <w:rsid w:val="000314CD"/>
    <w:rsid w:val="00033544"/>
    <w:rsid w:val="0003479E"/>
    <w:rsid w:val="0003484F"/>
    <w:rsid w:val="00035691"/>
    <w:rsid w:val="0004132D"/>
    <w:rsid w:val="00041358"/>
    <w:rsid w:val="00044CF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36C8"/>
    <w:rsid w:val="001068D2"/>
    <w:rsid w:val="001103BD"/>
    <w:rsid w:val="00111208"/>
    <w:rsid w:val="00111808"/>
    <w:rsid w:val="0011339F"/>
    <w:rsid w:val="00114E96"/>
    <w:rsid w:val="00115828"/>
    <w:rsid w:val="0011644A"/>
    <w:rsid w:val="00117332"/>
    <w:rsid w:val="001204DD"/>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521F"/>
    <w:rsid w:val="003E64A9"/>
    <w:rsid w:val="003E7002"/>
    <w:rsid w:val="003E7905"/>
    <w:rsid w:val="003F0336"/>
    <w:rsid w:val="003F2147"/>
    <w:rsid w:val="003F4488"/>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843"/>
    <w:rsid w:val="00485B23"/>
    <w:rsid w:val="0048630D"/>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784B"/>
    <w:rsid w:val="004E7ED0"/>
    <w:rsid w:val="004F0224"/>
    <w:rsid w:val="004F0DB4"/>
    <w:rsid w:val="004F0E04"/>
    <w:rsid w:val="004F1EBC"/>
    <w:rsid w:val="004F20E8"/>
    <w:rsid w:val="004F2C50"/>
    <w:rsid w:val="004F2DDD"/>
    <w:rsid w:val="004F3076"/>
    <w:rsid w:val="004F3B71"/>
    <w:rsid w:val="004F5154"/>
    <w:rsid w:val="004F5835"/>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FD9"/>
    <w:rsid w:val="0051791D"/>
    <w:rsid w:val="00520D6D"/>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120"/>
    <w:rsid w:val="005A6BC4"/>
    <w:rsid w:val="005A704D"/>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152A"/>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B78"/>
    <w:rsid w:val="006E6BA3"/>
    <w:rsid w:val="006F01EB"/>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2B44"/>
    <w:rsid w:val="0074655A"/>
    <w:rsid w:val="007469B7"/>
    <w:rsid w:val="00753BB5"/>
    <w:rsid w:val="00756832"/>
    <w:rsid w:val="007626D0"/>
    <w:rsid w:val="007651CA"/>
    <w:rsid w:val="00767519"/>
    <w:rsid w:val="00767EE3"/>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2739"/>
    <w:rsid w:val="007C4B0F"/>
    <w:rsid w:val="007C4DAD"/>
    <w:rsid w:val="007C501D"/>
    <w:rsid w:val="007C5830"/>
    <w:rsid w:val="007C5DB8"/>
    <w:rsid w:val="007C6CA2"/>
    <w:rsid w:val="007D05B2"/>
    <w:rsid w:val="007D0C44"/>
    <w:rsid w:val="007D1972"/>
    <w:rsid w:val="007D1F33"/>
    <w:rsid w:val="007D2146"/>
    <w:rsid w:val="007D24BF"/>
    <w:rsid w:val="007D3307"/>
    <w:rsid w:val="007D432A"/>
    <w:rsid w:val="007D5E27"/>
    <w:rsid w:val="007D6F64"/>
    <w:rsid w:val="007E25AB"/>
    <w:rsid w:val="007E2C70"/>
    <w:rsid w:val="007E5AC2"/>
    <w:rsid w:val="007E79C5"/>
    <w:rsid w:val="007F0036"/>
    <w:rsid w:val="007F143A"/>
    <w:rsid w:val="007F2845"/>
    <w:rsid w:val="007F43BC"/>
    <w:rsid w:val="007F4740"/>
    <w:rsid w:val="007F5CEB"/>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2918"/>
    <w:rsid w:val="0083350F"/>
    <w:rsid w:val="00834358"/>
    <w:rsid w:val="008346BD"/>
    <w:rsid w:val="00836B7A"/>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1D4F"/>
    <w:rsid w:val="00882DE6"/>
    <w:rsid w:val="00883D4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4CAC"/>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4627"/>
    <w:rsid w:val="009250A8"/>
    <w:rsid w:val="00925BE6"/>
    <w:rsid w:val="00926F61"/>
    <w:rsid w:val="0093123D"/>
    <w:rsid w:val="00933040"/>
    <w:rsid w:val="009330E9"/>
    <w:rsid w:val="00935D15"/>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3789"/>
    <w:rsid w:val="009A4860"/>
    <w:rsid w:val="009A6919"/>
    <w:rsid w:val="009A6AC7"/>
    <w:rsid w:val="009A6CC2"/>
    <w:rsid w:val="009A7831"/>
    <w:rsid w:val="009B0408"/>
    <w:rsid w:val="009B0843"/>
    <w:rsid w:val="009B1E47"/>
    <w:rsid w:val="009B2CED"/>
    <w:rsid w:val="009B345D"/>
    <w:rsid w:val="009B5A4D"/>
    <w:rsid w:val="009B7321"/>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6A8"/>
    <w:rsid w:val="00B329EB"/>
    <w:rsid w:val="00B33508"/>
    <w:rsid w:val="00B3377E"/>
    <w:rsid w:val="00B35786"/>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4421"/>
    <w:rsid w:val="00C7542D"/>
    <w:rsid w:val="00C75F2F"/>
    <w:rsid w:val="00C75FEE"/>
    <w:rsid w:val="00C76F1D"/>
    <w:rsid w:val="00C77D26"/>
    <w:rsid w:val="00C80BDF"/>
    <w:rsid w:val="00C84D39"/>
    <w:rsid w:val="00C85277"/>
    <w:rsid w:val="00C85D76"/>
    <w:rsid w:val="00C873AC"/>
    <w:rsid w:val="00C93462"/>
    <w:rsid w:val="00C94384"/>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62ECD"/>
    <w:rsid w:val="00D6334B"/>
    <w:rsid w:val="00D64426"/>
    <w:rsid w:val="00D645A3"/>
    <w:rsid w:val="00D65D78"/>
    <w:rsid w:val="00D67BC5"/>
    <w:rsid w:val="00D7021B"/>
    <w:rsid w:val="00D70D33"/>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587"/>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1AE"/>
    <w:rsid w:val="00E61300"/>
    <w:rsid w:val="00E614F2"/>
    <w:rsid w:val="00E635B9"/>
    <w:rsid w:val="00E65D15"/>
    <w:rsid w:val="00E66C49"/>
    <w:rsid w:val="00E67EE5"/>
    <w:rsid w:val="00E7013A"/>
    <w:rsid w:val="00E74F5D"/>
    <w:rsid w:val="00E76034"/>
    <w:rsid w:val="00E80440"/>
    <w:rsid w:val="00E80515"/>
    <w:rsid w:val="00E817E0"/>
    <w:rsid w:val="00E819FB"/>
    <w:rsid w:val="00E82EE4"/>
    <w:rsid w:val="00E831E7"/>
    <w:rsid w:val="00E843B5"/>
    <w:rsid w:val="00E84A3B"/>
    <w:rsid w:val="00E85307"/>
    <w:rsid w:val="00E907E4"/>
    <w:rsid w:val="00E90A24"/>
    <w:rsid w:val="00E90C34"/>
    <w:rsid w:val="00E919AC"/>
    <w:rsid w:val="00E946A6"/>
    <w:rsid w:val="00E947E4"/>
    <w:rsid w:val="00E94C9F"/>
    <w:rsid w:val="00E96A29"/>
    <w:rsid w:val="00E96B28"/>
    <w:rsid w:val="00E96FE6"/>
    <w:rsid w:val="00EA0A5C"/>
    <w:rsid w:val="00EA0AD2"/>
    <w:rsid w:val="00EA0CF0"/>
    <w:rsid w:val="00EA1D43"/>
    <w:rsid w:val="00EA4EC9"/>
    <w:rsid w:val="00EA5E0F"/>
    <w:rsid w:val="00EA6FE4"/>
    <w:rsid w:val="00EA7723"/>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42AD"/>
    <w:rsid w:val="00F247F2"/>
    <w:rsid w:val="00F252A8"/>
    <w:rsid w:val="00F2608D"/>
    <w:rsid w:val="00F265F7"/>
    <w:rsid w:val="00F27FA6"/>
    <w:rsid w:val="00F33DC8"/>
    <w:rsid w:val="00F34444"/>
    <w:rsid w:val="00F360A6"/>
    <w:rsid w:val="00F4065A"/>
    <w:rsid w:val="00F40F19"/>
    <w:rsid w:val="00F4275C"/>
    <w:rsid w:val="00F45693"/>
    <w:rsid w:val="00F47983"/>
    <w:rsid w:val="00F52339"/>
    <w:rsid w:val="00F5277A"/>
    <w:rsid w:val="00F532E8"/>
    <w:rsid w:val="00F537FF"/>
    <w:rsid w:val="00F560FE"/>
    <w:rsid w:val="00F605B6"/>
    <w:rsid w:val="00F6111C"/>
    <w:rsid w:val="00F613E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35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407b76a2ec66741253e9d147097823b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604f10e607729c444c98cc121ce2495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SP-5AIRPNAIUNRU-1830940522-239</_dlc_DocId>
    <_dlc_DocIdUrl xmlns="71c5aaf6-e6ce-465b-b873-5148d2a4c105">
      <Url>https://nokia.sharepoint.com/sites/c5g/5gradio/_layouts/15/DocIdRedir.aspx?ID=SP-5AIRPNAIUNRU-1830940522-239</Url>
      <Description>SP-5AIRPNAIUNRU-1830940522-239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5E9C7-F4C4-41EC-A96D-9885873DD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32EA568F-3292-4A66-A48E-7BE313509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911</Words>
  <Characters>7387</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2016-06-20T11:35:00Z</cp:lastPrinted>
  <dcterms:created xsi:type="dcterms:W3CDTF">2017-02-06T06:13:00Z</dcterms:created>
  <dcterms:modified xsi:type="dcterms:W3CDTF">2017-02-06T06:19:00Z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dee96f19-eaa3-42d0-a785-22331d953cb3</vt:lpwstr>
  </property>
</Properties>
</file>